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B9B" w14:textId="77777777" w:rsidR="003F6BE2" w:rsidRPr="003F6BE2" w:rsidRDefault="003F6BE2" w:rsidP="003F6BE2">
      <w:pPr>
        <w:spacing w:after="0" w:line="240" w:lineRule="auto"/>
        <w:jc w:val="center"/>
        <w:rPr>
          <w:rFonts w:ascii="Times New Roman" w:eastAsia="Times New Roman" w:hAnsi="Times New Roman" w:cs="Times New Roman"/>
          <w:b/>
          <w:kern w:val="0"/>
          <w:sz w:val="28"/>
          <w:szCs w:val="28"/>
          <w14:ligatures w14:val="none"/>
        </w:rPr>
      </w:pPr>
      <w:r w:rsidRPr="003F6BE2">
        <w:rPr>
          <w:rFonts w:ascii="Times New Roman" w:eastAsia="Times New Roman" w:hAnsi="Times New Roman" w:cs="Times New Roman"/>
          <w:b/>
          <w:kern w:val="0"/>
          <w:sz w:val="28"/>
          <w:szCs w:val="28"/>
          <w14:ligatures w14:val="none"/>
        </w:rPr>
        <w:t>TERMS OF REFERENCE</w:t>
      </w:r>
    </w:p>
    <w:p w14:paraId="036B6806" w14:textId="77777777" w:rsidR="003F6BE2" w:rsidRPr="003F6BE2" w:rsidRDefault="003F6BE2" w:rsidP="003F6BE2">
      <w:pPr>
        <w:spacing w:after="0" w:line="240" w:lineRule="auto"/>
        <w:jc w:val="center"/>
        <w:rPr>
          <w:rFonts w:ascii="Times New Roman" w:eastAsia="Times New Roman" w:hAnsi="Times New Roman" w:cs="Times New Roman"/>
          <w:b/>
          <w:kern w:val="0"/>
          <w:sz w:val="28"/>
          <w:szCs w:val="28"/>
          <w14:ligatures w14:val="none"/>
        </w:rPr>
      </w:pPr>
      <w:r w:rsidRPr="003F6BE2">
        <w:rPr>
          <w:rFonts w:ascii="Times New Roman" w:eastAsia="Times New Roman" w:hAnsi="Times New Roman" w:cs="Times New Roman"/>
          <w:b/>
          <w:kern w:val="0"/>
          <w:sz w:val="28"/>
          <w:szCs w:val="28"/>
          <w14:ligatures w14:val="none"/>
        </w:rPr>
        <w:t>for</w:t>
      </w:r>
    </w:p>
    <w:p w14:paraId="57BD5B4B" w14:textId="3C381D6A" w:rsidR="007A4DC9" w:rsidRPr="00D03F03" w:rsidRDefault="001F3C3D" w:rsidP="003F6BE2">
      <w:pPr>
        <w:spacing w:after="360" w:line="240" w:lineRule="auto"/>
        <w:jc w:val="center"/>
        <w:rPr>
          <w:rFonts w:ascii="Times New Roman" w:eastAsia="Times New Roman" w:hAnsi="Times New Roman" w:cs="Times New Roman"/>
          <w:b/>
          <w:kern w:val="0"/>
          <w:sz w:val="28"/>
          <w:szCs w:val="28"/>
          <w14:ligatures w14:val="none"/>
        </w:rPr>
      </w:pPr>
      <w:r w:rsidRPr="001F3C3D">
        <w:rPr>
          <w:rFonts w:ascii="Times New Roman" w:eastAsia="Times New Roman" w:hAnsi="Times New Roman" w:cs="Times New Roman"/>
          <w:b/>
          <w:kern w:val="0"/>
          <w:sz w:val="28"/>
          <w:szCs w:val="28"/>
          <w14:ligatures w14:val="none"/>
        </w:rPr>
        <w:t>Technical Roadmap Development and Advisory Support for the Implementation of an e-Wallet System</w:t>
      </w:r>
    </w:p>
    <w:p w14:paraId="1664427C" w14:textId="24D53763" w:rsidR="007A4DC9" w:rsidRPr="00D03F03" w:rsidRDefault="003F6BE2" w:rsidP="005120EC">
      <w:pPr>
        <w:pStyle w:val="Heading1"/>
      </w:pPr>
      <w:r w:rsidRPr="00D03F03">
        <w:t>Background Information</w:t>
      </w:r>
    </w:p>
    <w:p w14:paraId="1BD135D9" w14:textId="4040F231" w:rsidR="003F6BE2" w:rsidRPr="00D03F03" w:rsidRDefault="003F6BE2" w:rsidP="003F6BE2">
      <w:pPr>
        <w:jc w:val="both"/>
        <w:rPr>
          <w:rFonts w:ascii="Times New Roman" w:hAnsi="Times New Roman" w:cs="Times New Roman"/>
        </w:rPr>
      </w:pPr>
      <w:r w:rsidRPr="00D03F03">
        <w:rPr>
          <w:rFonts w:ascii="Times New Roman" w:hAnsi="Times New Roman" w:cs="Times New Roman"/>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06CC624A" w14:textId="7A844B12" w:rsidR="003F6BE2" w:rsidRPr="00D03F03" w:rsidRDefault="003F6BE2" w:rsidP="003F6BE2">
      <w:pPr>
        <w:jc w:val="both"/>
        <w:rPr>
          <w:rFonts w:ascii="Times New Roman" w:hAnsi="Times New Roman" w:cs="Times New Roman"/>
        </w:rPr>
      </w:pPr>
      <w:r w:rsidRPr="00D03F03">
        <w:rPr>
          <w:rFonts w:ascii="Times New Roman" w:hAnsi="Times New Roman" w:cs="Times New Roman"/>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53F56A70" w14:textId="565433E3" w:rsidR="003F6BE2" w:rsidRPr="00D03F03" w:rsidRDefault="003F6BE2" w:rsidP="003F6BE2">
      <w:pPr>
        <w:jc w:val="both"/>
        <w:rPr>
          <w:rFonts w:ascii="Times New Roman" w:hAnsi="Times New Roman" w:cs="Times New Roman"/>
          <w:color w:val="000000"/>
        </w:rPr>
      </w:pPr>
      <w:r w:rsidRPr="00D03F03">
        <w:rPr>
          <w:rFonts w:ascii="Times New Roman" w:hAnsi="Times New Roman" w:cs="Times New Roman"/>
          <w:color w:val="000000"/>
        </w:rPr>
        <w:t xml:space="preserve">In addition, the Government of Serbia has requested assistance </w:t>
      </w:r>
      <w:r w:rsidRPr="00D03F03">
        <w:rPr>
          <w:rFonts w:ascii="Times New Roman" w:hAnsi="Times New Roman" w:cs="Times New Roman"/>
        </w:rPr>
        <w:t>from the</w:t>
      </w:r>
      <w:r w:rsidRPr="00D03F03">
        <w:rPr>
          <w:rFonts w:ascii="Times New Roman" w:hAnsi="Times New Roman" w:cs="Times New Roman"/>
          <w:color w:val="000000"/>
        </w:rPr>
        <w:t xml:space="preserve"> World Bank in supporting the reform efforts, through a loan. To this effect, the World Bank has initiated the Enabling Digital Governance Project (EDGE). The Project, launched back in April 2019, </w:t>
      </w:r>
      <w:r w:rsidR="00472173">
        <w:rPr>
          <w:rFonts w:ascii="Times New Roman" w:hAnsi="Times New Roman" w:cs="Times New Roman"/>
          <w:color w:val="000000"/>
        </w:rPr>
        <w:t xml:space="preserve">and restructured in June 2024, </w:t>
      </w:r>
      <w:r w:rsidRPr="00D03F03">
        <w:rPr>
          <w:rFonts w:ascii="Times New Roman" w:hAnsi="Times New Roman" w:cs="Times New Roman"/>
          <w:color w:val="000000"/>
        </w:rPr>
        <w:t>aims at contributing to development of the digitalization in Serbia, through implementation of the following components:</w:t>
      </w:r>
    </w:p>
    <w:p w14:paraId="0901292D" w14:textId="77777777" w:rsidR="003F6BE2" w:rsidRPr="00D03F03" w:rsidRDefault="003F6BE2" w:rsidP="003F6BE2">
      <w:pPr>
        <w:jc w:val="both"/>
        <w:rPr>
          <w:rFonts w:ascii="Times New Roman" w:hAnsi="Times New Roman" w:cs="Times New Roman"/>
          <w:i/>
        </w:rPr>
      </w:pPr>
      <w:r w:rsidRPr="00D03F03">
        <w:rPr>
          <w:rFonts w:ascii="Times New Roman" w:hAnsi="Times New Roman" w:cs="Times New Roman"/>
          <w:i/>
        </w:rPr>
        <w:t>Component 1: Foundations for Digital Service Delivery</w:t>
      </w:r>
    </w:p>
    <w:p w14:paraId="58788B17" w14:textId="2731E177" w:rsidR="003F6BE2" w:rsidRPr="00D03F03" w:rsidRDefault="003F6BE2" w:rsidP="003F6BE2">
      <w:pPr>
        <w:jc w:val="both"/>
        <w:rPr>
          <w:rFonts w:ascii="Times New Roman" w:hAnsi="Times New Roman" w:cs="Times New Roman"/>
        </w:rPr>
      </w:pPr>
      <w:r w:rsidRPr="00D03F03">
        <w:rPr>
          <w:rFonts w:ascii="Times New Roman" w:hAnsi="Times New Roman" w:cs="Times New Roman"/>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237CD6CF" w14:textId="77777777" w:rsidR="003F6BE2" w:rsidRPr="00D03F03" w:rsidRDefault="003F6BE2" w:rsidP="003F6BE2">
      <w:pPr>
        <w:jc w:val="both"/>
        <w:rPr>
          <w:rFonts w:ascii="Times New Roman" w:hAnsi="Times New Roman" w:cs="Times New Roman"/>
        </w:rPr>
      </w:pPr>
      <w:r w:rsidRPr="00D03F03">
        <w:rPr>
          <w:rFonts w:ascii="Times New Roman" w:hAnsi="Times New Roman" w:cs="Times New Roman"/>
          <w:i/>
        </w:rPr>
        <w:t>Component 2. Citizen-Centric Digital Services</w:t>
      </w:r>
    </w:p>
    <w:p w14:paraId="2DC41E30" w14:textId="630F5244" w:rsidR="003F6BE2" w:rsidRPr="00D03F03" w:rsidRDefault="003F6BE2" w:rsidP="003F6BE2">
      <w:pPr>
        <w:jc w:val="both"/>
        <w:rPr>
          <w:rFonts w:ascii="Times New Roman" w:hAnsi="Times New Roman" w:cs="Times New Roman"/>
        </w:rPr>
      </w:pPr>
      <w:r w:rsidRPr="00D03F03">
        <w:rPr>
          <w:rFonts w:ascii="Times New Roman" w:hAnsi="Times New Roman" w:cs="Times New Roman"/>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57C6D301" w14:textId="77777777" w:rsidR="003F6BE2" w:rsidRPr="00D03F03" w:rsidRDefault="003F6BE2" w:rsidP="003F6BE2">
      <w:pPr>
        <w:jc w:val="both"/>
        <w:rPr>
          <w:rFonts w:ascii="Times New Roman" w:hAnsi="Times New Roman" w:cs="Times New Roman"/>
          <w:i/>
        </w:rPr>
      </w:pPr>
      <w:r w:rsidRPr="00D03F03">
        <w:rPr>
          <w:rFonts w:ascii="Times New Roman" w:hAnsi="Times New Roman" w:cs="Times New Roman"/>
          <w:i/>
        </w:rPr>
        <w:t>Component 3. Digital Skills Development and Project Management</w:t>
      </w:r>
    </w:p>
    <w:p w14:paraId="01034CCC" w14:textId="0B3EB39B" w:rsidR="003F6BE2" w:rsidRPr="00D03F03" w:rsidRDefault="003F6BE2" w:rsidP="003F6BE2">
      <w:pPr>
        <w:jc w:val="both"/>
        <w:rPr>
          <w:rFonts w:ascii="Times New Roman" w:hAnsi="Times New Roman" w:cs="Times New Roman"/>
        </w:rPr>
      </w:pPr>
      <w:r w:rsidRPr="00D03F03">
        <w:rPr>
          <w:rFonts w:ascii="Times New Roman" w:hAnsi="Times New Roman" w:cs="Times New Roman"/>
        </w:rPr>
        <w:t>This component focuses on the integration of change management, communication, and citizen feedback into Component 2.</w:t>
      </w:r>
    </w:p>
    <w:p w14:paraId="535F0516" w14:textId="7F7CECC3" w:rsidR="003F6BE2" w:rsidRPr="00D03F03" w:rsidRDefault="003F6BE2" w:rsidP="003F6BE2">
      <w:pPr>
        <w:jc w:val="both"/>
        <w:rPr>
          <w:rFonts w:ascii="Times New Roman" w:hAnsi="Times New Roman" w:cs="Times New Roman"/>
        </w:rPr>
      </w:pPr>
      <w:r w:rsidRPr="00D03F03">
        <w:rPr>
          <w:rFonts w:ascii="Times New Roman" w:hAnsi="Times New Roman" w:cs="Times New Roman"/>
        </w:rPr>
        <w:lastRenderedPageBreak/>
        <w:t>For the purposes of effectively managing and coordinating EDGE and future Projects with International Financial Institutions (IFI) financing, the Project Implementation Unit (PIU) has been founded at the OITeG.</w:t>
      </w:r>
    </w:p>
    <w:p w14:paraId="4D889248" w14:textId="204FF1B1" w:rsidR="001F3C3D" w:rsidRPr="001F3C3D" w:rsidRDefault="001F3C3D" w:rsidP="001F3C3D">
      <w:pPr>
        <w:jc w:val="both"/>
        <w:rPr>
          <w:rFonts w:ascii="Times New Roman" w:hAnsi="Times New Roman" w:cs="Times New Roman"/>
        </w:rPr>
      </w:pPr>
      <w:r w:rsidRPr="001F3C3D">
        <w:rPr>
          <w:rFonts w:ascii="Times New Roman" w:hAnsi="Times New Roman" w:cs="Times New Roman"/>
        </w:rPr>
        <w:t>Government of Serbia aims to enhance public service delivery through the establishment of a national e-wallet system in accordance with the European Union standards. This system seeks to facilitate access to personal credentials, initially including (i) birth and marriage certificates, which are essential for identification and various legal processes, (ii) health insurance cards, necessary for accessing healthcare services, (iii) driver’s licenses and vehicle registrations, mandatory for legal vehicle operation and identification by authorities, and (iv) foreign nationals’ documentation, crucial for residency, employment, and integration purposes. By incorporating theses personal credentials into an e-wallet, citizens can conveniently and securely access and manage, share and present essential documents digitally, reducing administrative burdens, delays and risks associated with loss, theft, or damage of physical documents.</w:t>
      </w:r>
    </w:p>
    <w:p w14:paraId="51FFE6E1" w14:textId="0B60BE09" w:rsidR="007A4DC9" w:rsidRPr="00D03F03" w:rsidRDefault="001F3C3D" w:rsidP="001F3C3D">
      <w:pPr>
        <w:jc w:val="both"/>
        <w:rPr>
          <w:rFonts w:ascii="Times New Roman" w:hAnsi="Times New Roman" w:cs="Times New Roman"/>
        </w:rPr>
      </w:pPr>
      <w:r w:rsidRPr="001F3C3D">
        <w:rPr>
          <w:rFonts w:ascii="Times New Roman" w:hAnsi="Times New Roman" w:cs="Times New Roman"/>
        </w:rPr>
        <w:t>To ensure the successful implementation of the e-wallet system, the Government of Serbia seeks to engage a qualified consulting firm to develop a comprehensive technical roadmap for the implementation of e-wallet. This roadmap will encompass user research, stakeholder engagement, detailed planning, budgeting, and advisory support during the development of a Minimum Viable Product (MVP)—a preliminary version of the product with basic features used to gather user feedback and validate concepts. The consulting firm is expected to provide expert guidance throughout the early stages of implementation, particularly focusing on user-centered design, scalability, interoperability, and avoiding dependence on a single technology provider. This approach will enable flexibility for future updates, enhancements, and smooth transitions between different technology providers, ensuring that the resulting e-wallet system is sustainable, inclusive, and adaptable to evolving technological and regulatory environments.</w:t>
      </w:r>
    </w:p>
    <w:p w14:paraId="61491995" w14:textId="272C8585" w:rsidR="007A4DC9" w:rsidRPr="00D03F03" w:rsidRDefault="007A4DC9" w:rsidP="005120EC">
      <w:pPr>
        <w:pStyle w:val="Heading1"/>
      </w:pPr>
      <w:r w:rsidRPr="00D03F03">
        <w:t>Objectives</w:t>
      </w:r>
    </w:p>
    <w:p w14:paraId="4C696945" w14:textId="6895055D" w:rsidR="007A4DC9" w:rsidRPr="001F3C3D" w:rsidRDefault="001F3C3D" w:rsidP="001F3C3D">
      <w:pPr>
        <w:jc w:val="both"/>
        <w:rPr>
          <w:rFonts w:ascii="Times New Roman" w:hAnsi="Times New Roman" w:cs="Times New Roman"/>
        </w:rPr>
      </w:pPr>
      <w:bookmarkStart w:id="0" w:name="_Hlk192023377"/>
      <w:r w:rsidRPr="001F3C3D">
        <w:rPr>
          <w:rFonts w:ascii="Times New Roman" w:hAnsi="Times New Roman" w:cs="Times New Roman"/>
        </w:rPr>
        <w:t>The primary objective of this assignment is to engage a qualified consulting firm to develop a comprehensive technical roadmap for implementing the national e-wallet system, covering user research, stakeholder engagement, detailed planning, budgeting, and advisory support throughout the initial MVP development stage. The firm shall ensure the delivered roadmap promotes scalability, vendor neutrality functionality, interoperability, and alignment with best practices, explicitly avoiding reliance on proprietary technologies from a single vendor to maintain flexibility and adaptability.</w:t>
      </w:r>
    </w:p>
    <w:bookmarkEnd w:id="0"/>
    <w:p w14:paraId="15A8A985" w14:textId="46D78165" w:rsidR="007A4DC9" w:rsidRPr="00B06B25" w:rsidRDefault="007A4DC9" w:rsidP="005120EC">
      <w:pPr>
        <w:pStyle w:val="Heading1"/>
      </w:pPr>
      <w:r w:rsidRPr="00B06B25">
        <w:t>Scope and Phases</w:t>
      </w:r>
    </w:p>
    <w:p w14:paraId="03143214" w14:textId="77777777" w:rsidR="001F3C3D" w:rsidRPr="00D12145" w:rsidRDefault="001F3C3D" w:rsidP="001F3C3D">
      <w:pPr>
        <w:jc w:val="both"/>
        <w:rPr>
          <w:rFonts w:ascii="Times New Roman" w:hAnsi="Times New Roman" w:cs="Times New Roman"/>
        </w:rPr>
      </w:pPr>
      <w:r w:rsidRPr="00D12145">
        <w:rPr>
          <w:rFonts w:ascii="Times New Roman" w:hAnsi="Times New Roman" w:cs="Times New Roman"/>
        </w:rPr>
        <w:t>The selected firm will be responsible for executing the following tasks:</w:t>
      </w:r>
    </w:p>
    <w:p w14:paraId="38D1E1C3"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t xml:space="preserve">Conduct comprehensive user research to understand user needs, behaviors, and expectations related specifically to the four targeted user cases: civil registration (birth and marriage certificates), doctor’s appointment and prescriptions (health insurance cards, digital prescriptions), and traffic controls (driver’s licenses and vehicle registrations), and foreigners living in Serbia (documentation for foreign nationals). This research aims to clarify user preferences and identify challenges faced in accessing these personal credentials through traditional means, such as bureaucratic inefficiencies and the risks associated with paper-based documents. </w:t>
      </w:r>
    </w:p>
    <w:p w14:paraId="66CECE08"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lastRenderedPageBreak/>
        <w:t>Engage extensively with end-users and relevant stakeholders, including but not limited to government departments, civil registry offices, healthcare authorities, law enforcement and transportation agencies, and immigration departments, to ensure alignment of the roadmap with practical operational requirements and address current pain points like delays, data discrepancies, and procedural bottlenecks.</w:t>
      </w:r>
    </w:p>
    <w:p w14:paraId="26C2F1BC"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t xml:space="preserve">Organize retreats, workshops, and stakeholder alignment activities as needed. </w:t>
      </w:r>
    </w:p>
    <w:p w14:paraId="1FC07132"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t>Develop a detailed, phased technical implementation roadmap clearly outlining steps, timelines, resources required, and budget estimations for the development and deployment of the e-wallet, emphasizing scalability, functionality, interoperability and the strategic use of open standards and technologies to prevent reliance on a single provider’s proprietary solution.</w:t>
      </w:r>
    </w:p>
    <w:p w14:paraId="34C351F9"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t>Provide advisory support and closely monitor the development of the e-wallet by a third-party vendor, ensuring adherence to the technical roadmap, international best practices, and avoidance of risks related to dependency on any single technology provider.</w:t>
      </w:r>
    </w:p>
    <w:p w14:paraId="442C89E2" w14:textId="77777777" w:rsidR="001F3C3D" w:rsidRPr="001F3C3D" w:rsidRDefault="001F3C3D" w:rsidP="001F3C3D">
      <w:pPr>
        <w:pStyle w:val="Bulit"/>
        <w:ind w:left="1077" w:hanging="357"/>
        <w:rPr>
          <w:rFonts w:eastAsia="Times New Roman" w:cstheme="majorBidi"/>
        </w:rPr>
      </w:pPr>
      <w:r w:rsidRPr="001F3C3D">
        <w:rPr>
          <w:rFonts w:eastAsia="Times New Roman" w:cstheme="majorBidi"/>
        </w:rPr>
        <w:t>Prepare clear and actionable recommendations to guarantee system scalability, long-term sustainability, interoperability with existing and future systems, and compliance with relevant regulatory frameworks such as eIDAS2, and explicit measures to prevent technological dependencies on specific vendors.</w:t>
      </w:r>
    </w:p>
    <w:p w14:paraId="2D0CCE10" w14:textId="42407E99" w:rsidR="002B3A7A" w:rsidRPr="002B3A7A" w:rsidRDefault="002B3A7A" w:rsidP="007401CE">
      <w:pPr>
        <w:pStyle w:val="Heading1"/>
      </w:pPr>
      <w:r w:rsidRPr="002B3A7A">
        <w:t>Timeframe and duration</w:t>
      </w:r>
    </w:p>
    <w:p w14:paraId="3AA828A1" w14:textId="4A0910D5" w:rsidR="00C22242" w:rsidRPr="00C22242" w:rsidRDefault="00C22242" w:rsidP="00C22242">
      <w:pPr>
        <w:jc w:val="both"/>
        <w:rPr>
          <w:rFonts w:ascii="Times New Roman" w:hAnsi="Times New Roman" w:cs="Times New Roman"/>
        </w:rPr>
      </w:pPr>
      <w:r w:rsidRPr="00C22242">
        <w:rPr>
          <w:rFonts w:ascii="Times New Roman" w:hAnsi="Times New Roman" w:cs="Times New Roman"/>
        </w:rPr>
        <w:t>The project will span over 4</w:t>
      </w:r>
      <w:r w:rsidR="00F7586C">
        <w:rPr>
          <w:rFonts w:ascii="Times New Roman" w:hAnsi="Times New Roman" w:cs="Times New Roman"/>
        </w:rPr>
        <w:t xml:space="preserve"> (four)</w:t>
      </w:r>
      <w:r w:rsidRPr="00C22242">
        <w:rPr>
          <w:rFonts w:ascii="Times New Roman" w:hAnsi="Times New Roman" w:cs="Times New Roman"/>
        </w:rPr>
        <w:t xml:space="preserve"> months,</w:t>
      </w:r>
      <w:r w:rsidR="00F20B1F">
        <w:rPr>
          <w:rFonts w:ascii="Times New Roman" w:hAnsi="Times New Roman" w:cs="Times New Roman"/>
        </w:rPr>
        <w:t xml:space="preserve"> with addition of the time needed for development of the Digital Identity Wallet MVP (Minimum Viable Product) </w:t>
      </w:r>
      <w:r w:rsidR="00F7586C">
        <w:rPr>
          <w:rFonts w:ascii="Times New Roman" w:hAnsi="Times New Roman" w:cs="Times New Roman"/>
        </w:rPr>
        <w:t>which should extend the</w:t>
      </w:r>
      <w:r w:rsidR="00F20B1F">
        <w:rPr>
          <w:rFonts w:ascii="Times New Roman" w:hAnsi="Times New Roman" w:cs="Times New Roman"/>
        </w:rPr>
        <w:t xml:space="preserve"> implementation period </w:t>
      </w:r>
      <w:r w:rsidR="00F7586C">
        <w:rPr>
          <w:rFonts w:ascii="Times New Roman" w:hAnsi="Times New Roman" w:cs="Times New Roman"/>
        </w:rPr>
        <w:t>for</w:t>
      </w:r>
      <w:r w:rsidR="00F20B1F">
        <w:rPr>
          <w:rFonts w:ascii="Times New Roman" w:hAnsi="Times New Roman" w:cs="Times New Roman"/>
        </w:rPr>
        <w:t xml:space="preserve"> </w:t>
      </w:r>
      <w:r w:rsidR="00F7586C">
        <w:rPr>
          <w:rFonts w:ascii="Times New Roman" w:hAnsi="Times New Roman" w:cs="Times New Roman"/>
        </w:rPr>
        <w:t>2</w:t>
      </w:r>
      <w:r w:rsidR="00F20B1F">
        <w:rPr>
          <w:rFonts w:ascii="Times New Roman" w:hAnsi="Times New Roman" w:cs="Times New Roman"/>
        </w:rPr>
        <w:t xml:space="preserve"> </w:t>
      </w:r>
      <w:r w:rsidR="00F7586C">
        <w:rPr>
          <w:rFonts w:ascii="Times New Roman" w:hAnsi="Times New Roman" w:cs="Times New Roman"/>
        </w:rPr>
        <w:t xml:space="preserve">(two) additional </w:t>
      </w:r>
      <w:r w:rsidR="00F20B1F">
        <w:rPr>
          <w:rFonts w:ascii="Times New Roman" w:hAnsi="Times New Roman" w:cs="Times New Roman"/>
        </w:rPr>
        <w:t>months</w:t>
      </w:r>
      <w:r w:rsidRPr="00C22242">
        <w:rPr>
          <w:rFonts w:ascii="Times New Roman" w:hAnsi="Times New Roman" w:cs="Times New Roman"/>
        </w:rPr>
        <w:t xml:space="preserve">. </w:t>
      </w:r>
    </w:p>
    <w:p w14:paraId="309676AF" w14:textId="6E6AFCD5" w:rsidR="007A4DC9" w:rsidRPr="007401CE" w:rsidRDefault="007A4DC9" w:rsidP="007401CE">
      <w:pPr>
        <w:pStyle w:val="Heading1"/>
      </w:pPr>
      <w:r w:rsidRPr="007401CE">
        <w:t>Deliverables</w:t>
      </w:r>
    </w:p>
    <w:tbl>
      <w:tblPr>
        <w:tblStyle w:val="TableGrid"/>
        <w:tblW w:w="0" w:type="auto"/>
        <w:jc w:val="center"/>
        <w:tblLook w:val="04A0" w:firstRow="1" w:lastRow="0" w:firstColumn="1" w:lastColumn="0" w:noHBand="0" w:noVBand="1"/>
      </w:tblPr>
      <w:tblGrid>
        <w:gridCol w:w="413"/>
        <w:gridCol w:w="6231"/>
        <w:gridCol w:w="1382"/>
      </w:tblGrid>
      <w:tr w:rsidR="00C47583" w:rsidRPr="00F2602E" w14:paraId="5B9ECA88" w14:textId="77777777" w:rsidTr="00811754">
        <w:trPr>
          <w:jc w:val="center"/>
        </w:trPr>
        <w:tc>
          <w:tcPr>
            <w:tcW w:w="413" w:type="dxa"/>
          </w:tcPr>
          <w:p w14:paraId="1FF14306" w14:textId="795DF6AC" w:rsidR="00C47583" w:rsidRPr="009D3FE8" w:rsidRDefault="00C47583" w:rsidP="00F2602E">
            <w:pPr>
              <w:rPr>
                <w:rFonts w:ascii="Times New Roman" w:hAnsi="Times New Roman" w:cs="Times New Roman"/>
              </w:rPr>
            </w:pPr>
            <w:r w:rsidRPr="009D3FE8">
              <w:rPr>
                <w:rFonts w:ascii="Times New Roman" w:hAnsi="Times New Roman" w:cs="Times New Roman"/>
              </w:rPr>
              <w:t>#</w:t>
            </w:r>
          </w:p>
        </w:tc>
        <w:tc>
          <w:tcPr>
            <w:tcW w:w="6231" w:type="dxa"/>
          </w:tcPr>
          <w:p w14:paraId="05A51287" w14:textId="685E8D2D" w:rsidR="00C47583" w:rsidRPr="009D3FE8" w:rsidRDefault="00C47583" w:rsidP="00F2602E">
            <w:pPr>
              <w:rPr>
                <w:rFonts w:ascii="Times New Roman" w:hAnsi="Times New Roman" w:cs="Times New Roman"/>
              </w:rPr>
            </w:pPr>
            <w:r>
              <w:rPr>
                <w:rFonts w:ascii="Times New Roman" w:hAnsi="Times New Roman" w:cs="Times New Roman"/>
              </w:rPr>
              <w:t>Description</w:t>
            </w:r>
          </w:p>
        </w:tc>
        <w:tc>
          <w:tcPr>
            <w:tcW w:w="1382" w:type="dxa"/>
          </w:tcPr>
          <w:p w14:paraId="28C47440" w14:textId="43EFF200" w:rsidR="00C47583" w:rsidRPr="009D3FE8" w:rsidRDefault="00C47583" w:rsidP="00F2602E">
            <w:pPr>
              <w:rPr>
                <w:rFonts w:ascii="Times New Roman" w:hAnsi="Times New Roman" w:cs="Times New Roman"/>
              </w:rPr>
            </w:pPr>
            <w:r>
              <w:rPr>
                <w:rFonts w:ascii="Times New Roman" w:hAnsi="Times New Roman" w:cs="Times New Roman"/>
              </w:rPr>
              <w:t>Deadline</w:t>
            </w:r>
          </w:p>
        </w:tc>
      </w:tr>
      <w:tr w:rsidR="00D12145" w:rsidRPr="00F2602E" w14:paraId="08CE6EA2" w14:textId="77777777" w:rsidTr="00811754">
        <w:trPr>
          <w:jc w:val="center"/>
        </w:trPr>
        <w:tc>
          <w:tcPr>
            <w:tcW w:w="413" w:type="dxa"/>
          </w:tcPr>
          <w:p w14:paraId="75CCA2A3" w14:textId="01A7FC02" w:rsidR="00D12145" w:rsidRPr="009D3FE8" w:rsidRDefault="00D12145" w:rsidP="00D12145">
            <w:pPr>
              <w:rPr>
                <w:rFonts w:ascii="Times New Roman" w:hAnsi="Times New Roman" w:cs="Times New Roman"/>
              </w:rPr>
            </w:pPr>
            <w:r>
              <w:rPr>
                <w:rFonts w:ascii="Times New Roman" w:hAnsi="Times New Roman" w:cs="Times New Roman"/>
              </w:rPr>
              <w:t>1</w:t>
            </w:r>
          </w:p>
        </w:tc>
        <w:tc>
          <w:tcPr>
            <w:tcW w:w="6231" w:type="dxa"/>
          </w:tcPr>
          <w:p w14:paraId="4688423F" w14:textId="5FE3E4D7" w:rsidR="00D12145" w:rsidRPr="00D12145" w:rsidRDefault="00D12145" w:rsidP="00D12145">
            <w:pPr>
              <w:spacing w:after="160" w:line="259" w:lineRule="auto"/>
              <w:jc w:val="both"/>
              <w:rPr>
                <w:rFonts w:ascii="Times New Roman" w:hAnsi="Times New Roman" w:cs="Times New Roman"/>
              </w:rPr>
            </w:pPr>
            <w:r w:rsidRPr="00D12145">
              <w:rPr>
                <w:rFonts w:ascii="Times New Roman" w:hAnsi="Times New Roman" w:cs="Times New Roman"/>
              </w:rPr>
              <w:t>Inception report outlining the detailed methodology, timeline, and stakeholder engagement approach.</w:t>
            </w:r>
          </w:p>
        </w:tc>
        <w:tc>
          <w:tcPr>
            <w:tcW w:w="1382" w:type="dxa"/>
          </w:tcPr>
          <w:p w14:paraId="74624E9D" w14:textId="4B9EE235" w:rsidR="00D12145" w:rsidRPr="009D3FE8" w:rsidRDefault="0081627C" w:rsidP="00D12145">
            <w:pPr>
              <w:rPr>
                <w:rFonts w:ascii="Times New Roman" w:hAnsi="Times New Roman" w:cs="Times New Roman"/>
                <w:sz w:val="20"/>
                <w:szCs w:val="20"/>
              </w:rPr>
            </w:pPr>
            <w:r>
              <w:rPr>
                <w:rFonts w:ascii="Times New Roman" w:hAnsi="Times New Roman" w:cs="Times New Roman"/>
                <w:sz w:val="20"/>
                <w:szCs w:val="20"/>
              </w:rPr>
              <w:t>3</w:t>
            </w:r>
            <w:r w:rsidR="00D12145" w:rsidRPr="007401CE">
              <w:rPr>
                <w:rFonts w:ascii="Times New Roman" w:hAnsi="Times New Roman" w:cs="Times New Roman"/>
                <w:sz w:val="20"/>
                <w:szCs w:val="20"/>
              </w:rPr>
              <w:t xml:space="preserve"> (</w:t>
            </w:r>
            <w:r>
              <w:rPr>
                <w:rFonts w:ascii="Times New Roman" w:hAnsi="Times New Roman" w:cs="Times New Roman"/>
                <w:sz w:val="20"/>
                <w:szCs w:val="20"/>
              </w:rPr>
              <w:t>three</w:t>
            </w:r>
            <w:r w:rsidR="00D12145" w:rsidRPr="007401CE">
              <w:rPr>
                <w:rFonts w:ascii="Times New Roman" w:hAnsi="Times New Roman" w:cs="Times New Roman"/>
                <w:sz w:val="20"/>
                <w:szCs w:val="20"/>
              </w:rPr>
              <w:t>) weeks after contract signing</w:t>
            </w:r>
          </w:p>
        </w:tc>
      </w:tr>
      <w:tr w:rsidR="00D12145" w:rsidRPr="00F2602E" w14:paraId="0844917B" w14:textId="77777777" w:rsidTr="00811754">
        <w:trPr>
          <w:jc w:val="center"/>
        </w:trPr>
        <w:tc>
          <w:tcPr>
            <w:tcW w:w="413" w:type="dxa"/>
          </w:tcPr>
          <w:p w14:paraId="7276FDD0" w14:textId="247B98B8" w:rsidR="00D12145" w:rsidRPr="009D3FE8" w:rsidRDefault="00D12145" w:rsidP="00D12145">
            <w:pPr>
              <w:rPr>
                <w:rFonts w:ascii="Times New Roman" w:hAnsi="Times New Roman" w:cs="Times New Roman"/>
              </w:rPr>
            </w:pPr>
            <w:r>
              <w:rPr>
                <w:rFonts w:ascii="Times New Roman" w:hAnsi="Times New Roman" w:cs="Times New Roman"/>
              </w:rPr>
              <w:t>2</w:t>
            </w:r>
          </w:p>
        </w:tc>
        <w:tc>
          <w:tcPr>
            <w:tcW w:w="6231" w:type="dxa"/>
          </w:tcPr>
          <w:p w14:paraId="59F400E8" w14:textId="541B3B43" w:rsidR="00D12145" w:rsidRPr="00D12145" w:rsidRDefault="00D12145" w:rsidP="00D12145">
            <w:pPr>
              <w:spacing w:after="160" w:line="259" w:lineRule="auto"/>
              <w:jc w:val="both"/>
              <w:rPr>
                <w:rFonts w:ascii="Times New Roman" w:hAnsi="Times New Roman" w:cs="Times New Roman"/>
              </w:rPr>
            </w:pPr>
            <w:r w:rsidRPr="00D12145">
              <w:rPr>
                <w:rFonts w:ascii="Times New Roman" w:hAnsi="Times New Roman" w:cs="Times New Roman"/>
              </w:rPr>
              <w:t>Comprehensive user research and stakeholder engagement report, identifying key insights and implications for the roadmap.</w:t>
            </w:r>
          </w:p>
        </w:tc>
        <w:tc>
          <w:tcPr>
            <w:tcW w:w="1382" w:type="dxa"/>
          </w:tcPr>
          <w:p w14:paraId="00D3B74D" w14:textId="10D8CDEC" w:rsidR="00D12145" w:rsidRPr="009D3FE8" w:rsidRDefault="0081627C" w:rsidP="00D12145">
            <w:pPr>
              <w:rPr>
                <w:rFonts w:ascii="Times New Roman" w:hAnsi="Times New Roman" w:cs="Times New Roman"/>
              </w:rPr>
            </w:pPr>
            <w:r>
              <w:rPr>
                <w:rFonts w:ascii="Times New Roman" w:hAnsi="Times New Roman" w:cs="Times New Roman"/>
                <w:sz w:val="20"/>
                <w:szCs w:val="20"/>
              </w:rPr>
              <w:t>7</w:t>
            </w:r>
            <w:r w:rsidR="00D12145">
              <w:rPr>
                <w:rFonts w:ascii="Times New Roman" w:hAnsi="Times New Roman" w:cs="Times New Roman"/>
                <w:sz w:val="20"/>
                <w:szCs w:val="20"/>
              </w:rPr>
              <w:t xml:space="preserve"> </w:t>
            </w:r>
            <w:r w:rsidR="00D12145" w:rsidRPr="005A20F5">
              <w:rPr>
                <w:rFonts w:ascii="Times New Roman" w:hAnsi="Times New Roman" w:cs="Times New Roman"/>
                <w:sz w:val="20"/>
                <w:szCs w:val="20"/>
              </w:rPr>
              <w:t>(</w:t>
            </w:r>
            <w:r>
              <w:rPr>
                <w:rFonts w:ascii="Times New Roman" w:hAnsi="Times New Roman" w:cs="Times New Roman"/>
                <w:sz w:val="20"/>
                <w:szCs w:val="20"/>
              </w:rPr>
              <w:t>seven</w:t>
            </w:r>
            <w:r w:rsidR="00D12145" w:rsidRPr="005A20F5">
              <w:rPr>
                <w:rFonts w:ascii="Times New Roman" w:hAnsi="Times New Roman" w:cs="Times New Roman"/>
                <w:sz w:val="20"/>
                <w:szCs w:val="20"/>
              </w:rPr>
              <w:t>) weeks after contract signing</w:t>
            </w:r>
          </w:p>
        </w:tc>
      </w:tr>
      <w:tr w:rsidR="00D12145" w:rsidRPr="00F2602E" w14:paraId="3A4B6492" w14:textId="77777777" w:rsidTr="00811754">
        <w:trPr>
          <w:jc w:val="center"/>
        </w:trPr>
        <w:tc>
          <w:tcPr>
            <w:tcW w:w="413" w:type="dxa"/>
          </w:tcPr>
          <w:p w14:paraId="498DD9CD" w14:textId="349E82F8" w:rsidR="00D12145" w:rsidRPr="009D3FE8" w:rsidRDefault="00D12145" w:rsidP="00D12145">
            <w:pPr>
              <w:rPr>
                <w:rFonts w:ascii="Times New Roman" w:hAnsi="Times New Roman" w:cs="Times New Roman"/>
              </w:rPr>
            </w:pPr>
            <w:r>
              <w:rPr>
                <w:rFonts w:ascii="Times New Roman" w:hAnsi="Times New Roman" w:cs="Times New Roman"/>
              </w:rPr>
              <w:t>3</w:t>
            </w:r>
          </w:p>
        </w:tc>
        <w:tc>
          <w:tcPr>
            <w:tcW w:w="6231" w:type="dxa"/>
          </w:tcPr>
          <w:p w14:paraId="61E95733" w14:textId="012FBD42" w:rsidR="00D12145" w:rsidRPr="00D12145" w:rsidRDefault="00D12145" w:rsidP="00D12145">
            <w:pPr>
              <w:spacing w:after="160" w:line="259" w:lineRule="auto"/>
              <w:jc w:val="both"/>
              <w:rPr>
                <w:rFonts w:ascii="Times New Roman" w:hAnsi="Times New Roman" w:cs="Times New Roman"/>
              </w:rPr>
            </w:pPr>
            <w:r w:rsidRPr="00D12145">
              <w:rPr>
                <w:rFonts w:ascii="Times New Roman" w:hAnsi="Times New Roman" w:cs="Times New Roman"/>
              </w:rPr>
              <w:t>Draft technical implementation roadmap, including budgeting, resource requirements, and phased planning, and measures to avoid vendor lock-in.</w:t>
            </w:r>
          </w:p>
        </w:tc>
        <w:tc>
          <w:tcPr>
            <w:tcW w:w="1382" w:type="dxa"/>
          </w:tcPr>
          <w:p w14:paraId="4FC3358A" w14:textId="589D6983" w:rsidR="00D12145" w:rsidRPr="009D3FE8" w:rsidRDefault="0081627C" w:rsidP="00D12145">
            <w:pPr>
              <w:rPr>
                <w:rFonts w:ascii="Times New Roman" w:hAnsi="Times New Roman" w:cs="Times New Roman"/>
              </w:rPr>
            </w:pPr>
            <w:r>
              <w:rPr>
                <w:rFonts w:ascii="Times New Roman" w:hAnsi="Times New Roman" w:cs="Times New Roman"/>
                <w:sz w:val="20"/>
                <w:szCs w:val="20"/>
              </w:rPr>
              <w:t>12</w:t>
            </w:r>
            <w:r w:rsidR="00D12145" w:rsidRPr="005A20F5">
              <w:rPr>
                <w:rFonts w:ascii="Times New Roman" w:hAnsi="Times New Roman" w:cs="Times New Roman"/>
                <w:sz w:val="20"/>
                <w:szCs w:val="20"/>
              </w:rPr>
              <w:t xml:space="preserve"> (</w:t>
            </w:r>
            <w:r>
              <w:rPr>
                <w:rFonts w:ascii="Times New Roman" w:hAnsi="Times New Roman" w:cs="Times New Roman"/>
                <w:sz w:val="20"/>
                <w:szCs w:val="20"/>
              </w:rPr>
              <w:t>twelve</w:t>
            </w:r>
            <w:r w:rsidR="00D12145" w:rsidRPr="005A20F5">
              <w:rPr>
                <w:rFonts w:ascii="Times New Roman" w:hAnsi="Times New Roman" w:cs="Times New Roman"/>
                <w:sz w:val="20"/>
                <w:szCs w:val="20"/>
              </w:rPr>
              <w:t>) weeks after contract signing</w:t>
            </w:r>
          </w:p>
        </w:tc>
      </w:tr>
      <w:tr w:rsidR="00D12145" w:rsidRPr="00F2602E" w14:paraId="5F48486D" w14:textId="77777777" w:rsidTr="00811754">
        <w:trPr>
          <w:jc w:val="center"/>
        </w:trPr>
        <w:tc>
          <w:tcPr>
            <w:tcW w:w="413" w:type="dxa"/>
          </w:tcPr>
          <w:p w14:paraId="3CAD3766" w14:textId="1B5EF91B" w:rsidR="00D12145" w:rsidRDefault="00D12145" w:rsidP="00D12145">
            <w:pPr>
              <w:rPr>
                <w:rFonts w:ascii="Times New Roman" w:hAnsi="Times New Roman" w:cs="Times New Roman"/>
              </w:rPr>
            </w:pPr>
            <w:r>
              <w:rPr>
                <w:rFonts w:ascii="Times New Roman" w:hAnsi="Times New Roman" w:cs="Times New Roman"/>
              </w:rPr>
              <w:t>4</w:t>
            </w:r>
          </w:p>
        </w:tc>
        <w:tc>
          <w:tcPr>
            <w:tcW w:w="6231" w:type="dxa"/>
          </w:tcPr>
          <w:p w14:paraId="5C3311D4" w14:textId="7C121BB3" w:rsidR="00D12145" w:rsidRPr="00D12145" w:rsidRDefault="00D12145" w:rsidP="00D12145">
            <w:pPr>
              <w:spacing w:after="160" w:line="259" w:lineRule="auto"/>
              <w:jc w:val="both"/>
              <w:rPr>
                <w:rFonts w:ascii="Times New Roman" w:hAnsi="Times New Roman" w:cs="Times New Roman"/>
              </w:rPr>
            </w:pPr>
            <w:r w:rsidRPr="00D12145">
              <w:rPr>
                <w:rFonts w:ascii="Times New Roman" w:hAnsi="Times New Roman" w:cs="Times New Roman"/>
              </w:rPr>
              <w:t>Final technical implementation roadmap incorporating stakeholder feedback, complete budget estimates, timelines, and scalability recommendations, and detailed strategies for maintaining technological flexibility.</w:t>
            </w:r>
          </w:p>
        </w:tc>
        <w:tc>
          <w:tcPr>
            <w:tcW w:w="1382" w:type="dxa"/>
          </w:tcPr>
          <w:p w14:paraId="2E3FE0B0" w14:textId="3CF2BFEE" w:rsidR="00D12145" w:rsidRPr="00F2602E" w:rsidRDefault="00D12145" w:rsidP="00D12145">
            <w:pPr>
              <w:rPr>
                <w:rFonts w:ascii="Times New Roman" w:hAnsi="Times New Roman" w:cs="Times New Roman"/>
              </w:rPr>
            </w:pPr>
            <w:r>
              <w:rPr>
                <w:rFonts w:ascii="Times New Roman" w:hAnsi="Times New Roman" w:cs="Times New Roman"/>
                <w:sz w:val="20"/>
                <w:szCs w:val="20"/>
              </w:rPr>
              <w:t>1</w:t>
            </w:r>
            <w:r w:rsidR="0081627C">
              <w:rPr>
                <w:rFonts w:ascii="Times New Roman" w:hAnsi="Times New Roman" w:cs="Times New Roman"/>
                <w:sz w:val="20"/>
                <w:szCs w:val="20"/>
              </w:rPr>
              <w:t>6</w:t>
            </w:r>
            <w:r w:rsidRPr="005A20F5">
              <w:rPr>
                <w:rFonts w:ascii="Times New Roman" w:hAnsi="Times New Roman" w:cs="Times New Roman"/>
                <w:sz w:val="20"/>
                <w:szCs w:val="20"/>
              </w:rPr>
              <w:t xml:space="preserve"> (</w:t>
            </w:r>
            <w:r w:rsidR="0081627C">
              <w:rPr>
                <w:rFonts w:ascii="Times New Roman" w:hAnsi="Times New Roman" w:cs="Times New Roman"/>
                <w:sz w:val="20"/>
                <w:szCs w:val="20"/>
              </w:rPr>
              <w:t>sixteen</w:t>
            </w:r>
            <w:r w:rsidRPr="005A20F5">
              <w:rPr>
                <w:rFonts w:ascii="Times New Roman" w:hAnsi="Times New Roman" w:cs="Times New Roman"/>
                <w:sz w:val="20"/>
                <w:szCs w:val="20"/>
              </w:rPr>
              <w:t>) weeks after contract signing</w:t>
            </w:r>
          </w:p>
        </w:tc>
      </w:tr>
      <w:tr w:rsidR="00D12145" w:rsidRPr="00F2602E" w14:paraId="386227A5" w14:textId="77777777" w:rsidTr="00811754">
        <w:trPr>
          <w:jc w:val="center"/>
        </w:trPr>
        <w:tc>
          <w:tcPr>
            <w:tcW w:w="413" w:type="dxa"/>
          </w:tcPr>
          <w:p w14:paraId="0CC50A02" w14:textId="2897C6F3" w:rsidR="00D12145" w:rsidRDefault="00D12145" w:rsidP="00D12145">
            <w:pPr>
              <w:rPr>
                <w:rFonts w:ascii="Times New Roman" w:hAnsi="Times New Roman" w:cs="Times New Roman"/>
              </w:rPr>
            </w:pPr>
            <w:r>
              <w:rPr>
                <w:rFonts w:ascii="Times New Roman" w:hAnsi="Times New Roman" w:cs="Times New Roman"/>
              </w:rPr>
              <w:t>5</w:t>
            </w:r>
          </w:p>
        </w:tc>
        <w:tc>
          <w:tcPr>
            <w:tcW w:w="6231" w:type="dxa"/>
          </w:tcPr>
          <w:p w14:paraId="7E1DB41B" w14:textId="4E1B3DAF" w:rsidR="00D12145" w:rsidRPr="00D12145" w:rsidRDefault="00D12145" w:rsidP="00D12145">
            <w:pPr>
              <w:spacing w:after="160" w:line="259" w:lineRule="auto"/>
              <w:jc w:val="both"/>
              <w:rPr>
                <w:rFonts w:ascii="Times New Roman" w:hAnsi="Times New Roman" w:cs="Times New Roman"/>
              </w:rPr>
            </w:pPr>
            <w:r w:rsidRPr="00D12145">
              <w:rPr>
                <w:rFonts w:ascii="Times New Roman" w:hAnsi="Times New Roman" w:cs="Times New Roman"/>
              </w:rPr>
              <w:t>Advisory and support report covering monitoring and recommendations for MVP development stage, emphasizing adherence to open standards.</w:t>
            </w:r>
          </w:p>
        </w:tc>
        <w:tc>
          <w:tcPr>
            <w:tcW w:w="1382" w:type="dxa"/>
          </w:tcPr>
          <w:p w14:paraId="549377A7" w14:textId="1E63D127" w:rsidR="00D12145" w:rsidRDefault="00D12145" w:rsidP="00D12145">
            <w:pPr>
              <w:rPr>
                <w:rFonts w:ascii="Times New Roman" w:hAnsi="Times New Roman" w:cs="Times New Roman"/>
                <w:sz w:val="20"/>
                <w:szCs w:val="20"/>
              </w:rPr>
            </w:pPr>
            <w:r w:rsidRPr="00D12145">
              <w:rPr>
                <w:rFonts w:ascii="Times New Roman" w:hAnsi="Times New Roman" w:cs="Times New Roman"/>
                <w:sz w:val="20"/>
                <w:szCs w:val="20"/>
              </w:rPr>
              <w:t>Throughout MVP development period</w:t>
            </w:r>
          </w:p>
        </w:tc>
      </w:tr>
    </w:tbl>
    <w:p w14:paraId="7D14BC36" w14:textId="77777777" w:rsidR="009A256B" w:rsidRPr="002B3A7A" w:rsidRDefault="009A256B" w:rsidP="005A20F5">
      <w:pPr>
        <w:rPr>
          <w:rFonts w:ascii="Times New Roman" w:hAnsi="Times New Roman" w:cs="Times New Roman"/>
          <w:highlight w:val="yellow"/>
        </w:rPr>
      </w:pPr>
    </w:p>
    <w:p w14:paraId="2D99300E" w14:textId="1F73BADB" w:rsidR="006C17E0" w:rsidRPr="002B3A7A" w:rsidRDefault="006C17E0" w:rsidP="005A20F5">
      <w:pPr>
        <w:pStyle w:val="Heading1"/>
      </w:pPr>
      <w:r w:rsidRPr="002B3A7A">
        <w:t xml:space="preserve">Consultant Qualifications </w:t>
      </w:r>
    </w:p>
    <w:p w14:paraId="50F14AD7" w14:textId="77777777" w:rsidR="003D7231" w:rsidRPr="00A5035B" w:rsidRDefault="003D7231" w:rsidP="003D7231">
      <w:pPr>
        <w:pStyle w:val="Bulit"/>
        <w:rPr>
          <w:rFonts w:eastAsia="Arial Unicode MS" w:cstheme="majorBidi"/>
        </w:rPr>
      </w:pPr>
      <w:r w:rsidRPr="00C97E74">
        <w:rPr>
          <w:rFonts w:eastAsia="Arial Unicode MS" w:cstheme="majorBidi"/>
        </w:rPr>
        <w:t xml:space="preserve">The Consulting firm must demonstrate substantial experience in supporting digital transformation initiatives, specifically with verifiable credentials and digital identification systems. </w:t>
      </w:r>
      <w:r w:rsidRPr="00A5035B">
        <w:rPr>
          <w:rFonts w:eastAsia="Arial Unicode MS" w:cstheme="majorBidi"/>
        </w:rPr>
        <w:t xml:space="preserve">At least two (2) successfully completed projects of similar scope and complexity within the past </w:t>
      </w:r>
      <w:r>
        <w:rPr>
          <w:rFonts w:eastAsia="Arial Unicode MS" w:cstheme="majorBidi"/>
        </w:rPr>
        <w:t>six</w:t>
      </w:r>
      <w:r w:rsidRPr="00A5035B">
        <w:rPr>
          <w:rFonts w:eastAsia="Arial Unicode MS" w:cstheme="majorBidi"/>
        </w:rPr>
        <w:t xml:space="preserve"> (</w:t>
      </w:r>
      <w:r>
        <w:rPr>
          <w:rFonts w:eastAsia="Arial Unicode MS" w:cstheme="majorBidi"/>
        </w:rPr>
        <w:t>6</w:t>
      </w:r>
      <w:r w:rsidRPr="00A5035B">
        <w:rPr>
          <w:rFonts w:eastAsia="Arial Unicode MS" w:cstheme="majorBidi"/>
        </w:rPr>
        <w:t>) years must be documented.</w:t>
      </w:r>
    </w:p>
    <w:p w14:paraId="53D1027B" w14:textId="77777777" w:rsidR="003D7231" w:rsidRPr="00A5035B" w:rsidRDefault="003D7231" w:rsidP="003D7231">
      <w:pPr>
        <w:pStyle w:val="Bulit"/>
        <w:rPr>
          <w:rFonts w:eastAsia="Arial Unicode MS" w:cstheme="majorBidi"/>
        </w:rPr>
      </w:pPr>
      <w:r w:rsidRPr="00C97E74">
        <w:rPr>
          <w:rFonts w:eastAsia="Arial Unicode MS" w:cstheme="majorBidi"/>
        </w:rPr>
        <w:t xml:space="preserve">The Consulting firm must have proven expertise in digitalization projects. Experience in digitalization within the public sector, and in particular with regards integrating </w:t>
      </w:r>
      <w:r w:rsidRPr="00796E03">
        <w:rPr>
          <w:rFonts w:eastAsia="Arial Unicode MS" w:cstheme="majorBidi"/>
        </w:rPr>
        <w:t>horizontal eGovernment services</w:t>
      </w:r>
      <w:r>
        <w:rPr>
          <w:rFonts w:eastAsia="Arial Unicode MS" w:cstheme="majorBidi"/>
        </w:rPr>
        <w:t xml:space="preserve"> </w:t>
      </w:r>
      <w:r w:rsidRPr="00A5035B">
        <w:rPr>
          <w:rFonts w:eastAsia="Arial Unicode MS" w:cstheme="majorBidi"/>
        </w:rPr>
        <w:t>(e.g., services utilized across multiple government departments or agencies), will be an advantage.</w:t>
      </w:r>
    </w:p>
    <w:p w14:paraId="14590380" w14:textId="77777777" w:rsidR="003D7231" w:rsidRPr="00A91235" w:rsidRDefault="003D7231" w:rsidP="003D7231">
      <w:pPr>
        <w:pStyle w:val="Bulit"/>
        <w:rPr>
          <w:rFonts w:eastAsia="Arial Unicode MS" w:cstheme="majorBidi"/>
        </w:rPr>
      </w:pPr>
      <w:r w:rsidRPr="00A5035B">
        <w:rPr>
          <w:rFonts w:eastAsia="Arial Unicode MS"/>
        </w:rPr>
        <w:t>Demonstrated expertise in</w:t>
      </w:r>
      <w:r>
        <w:rPr>
          <w:rFonts w:eastAsia="Arial Unicode MS"/>
        </w:rPr>
        <w:t xml:space="preserve"> gathering requirements, consulting stakeholders,</w:t>
      </w:r>
      <w:r w:rsidRPr="00A5035B">
        <w:rPr>
          <w:rFonts w:eastAsia="Arial Unicode MS"/>
        </w:rPr>
        <w:t xml:space="preserve"> developing technical roadmaps</w:t>
      </w:r>
      <w:r>
        <w:rPr>
          <w:rFonts w:eastAsia="Arial Unicode MS"/>
        </w:rPr>
        <w:t xml:space="preserve"> and</w:t>
      </w:r>
      <w:r w:rsidRPr="00A5035B">
        <w:rPr>
          <w:rFonts w:eastAsia="Arial Unicode MS"/>
        </w:rPr>
        <w:t xml:space="preserve"> implementation plans, and advisory support for digital identity or digital wallet solutions is mandatory</w:t>
      </w:r>
    </w:p>
    <w:p w14:paraId="35E7FEAC" w14:textId="77777777" w:rsidR="003D7231" w:rsidRPr="00A5035B" w:rsidRDefault="003D7231" w:rsidP="003D7231">
      <w:pPr>
        <w:pStyle w:val="Bulit"/>
        <w:rPr>
          <w:rFonts w:eastAsia="Arial Unicode MS" w:cstheme="majorBidi"/>
        </w:rPr>
      </w:pPr>
      <w:r>
        <w:rPr>
          <w:rFonts w:eastAsia="Arial Unicode MS"/>
        </w:rPr>
        <w:t>Prov</w:t>
      </w:r>
      <w:r w:rsidRPr="00A5035B">
        <w:rPr>
          <w:rFonts w:eastAsia="Arial Unicode MS"/>
        </w:rPr>
        <w:t xml:space="preserve">en track record </w:t>
      </w:r>
      <w:r w:rsidRPr="00A5035B">
        <w:rPr>
          <w:rFonts w:eastAsia="Arial Unicode MS" w:cstheme="majorBidi"/>
        </w:rPr>
        <w:t>and hands-on experience in developing and integrating complex IT systems.</w:t>
      </w:r>
      <w:r w:rsidRPr="00A5035B">
        <w:rPr>
          <w:rFonts w:eastAsia="Times New Roman" w:cs="Times New Roman"/>
          <w:kern w:val="0"/>
          <w:sz w:val="24"/>
          <w:szCs w:val="24"/>
          <w14:ligatures w14:val="none"/>
        </w:rPr>
        <w:t xml:space="preserve"> </w:t>
      </w:r>
    </w:p>
    <w:p w14:paraId="2021D6AA" w14:textId="77777777" w:rsidR="003D7231" w:rsidRPr="00C97E74" w:rsidRDefault="003D7231" w:rsidP="003D7231">
      <w:pPr>
        <w:pStyle w:val="Bulit"/>
        <w:rPr>
          <w:rFonts w:eastAsia="Arial Unicode MS" w:cstheme="majorBidi"/>
        </w:rPr>
      </w:pPr>
      <w:r w:rsidRPr="00C97E74">
        <w:rPr>
          <w:rFonts w:eastAsia="Arial Unicode MS" w:cstheme="majorBidi"/>
        </w:rPr>
        <w:t>At least one (1) project must have involved services that include Customer to Business o</w:t>
      </w:r>
      <w:r>
        <w:rPr>
          <w:rFonts w:eastAsia="Arial Unicode MS" w:cstheme="majorBidi"/>
        </w:rPr>
        <w:t>r</w:t>
      </w:r>
      <w:r w:rsidRPr="00C97E74">
        <w:rPr>
          <w:rFonts w:eastAsia="Arial Unicode MS" w:cstheme="majorBidi"/>
        </w:rPr>
        <w:t xml:space="preserve"> Customer to Government services.</w:t>
      </w:r>
    </w:p>
    <w:p w14:paraId="4D350ADA" w14:textId="77777777" w:rsidR="003D7231" w:rsidRPr="00C97E74" w:rsidRDefault="003D7231" w:rsidP="003D7231">
      <w:pPr>
        <w:pStyle w:val="Bulit"/>
        <w:rPr>
          <w:rFonts w:eastAsia="Arial Unicode MS" w:cstheme="majorBidi"/>
        </w:rPr>
      </w:pPr>
      <w:r w:rsidRPr="00C97E74">
        <w:rPr>
          <w:rFonts w:eastAsia="Arial Unicode MS" w:cstheme="majorBidi"/>
        </w:rPr>
        <w:t>At least one (1) project must have involved a market analysis of digital wallet solutions in Europe and/or globally.</w:t>
      </w:r>
    </w:p>
    <w:p w14:paraId="06EE37E6" w14:textId="77777777" w:rsidR="003D7231" w:rsidRPr="00C97E74" w:rsidRDefault="003D7231" w:rsidP="003D7231">
      <w:pPr>
        <w:pStyle w:val="Bulit"/>
        <w:rPr>
          <w:rFonts w:eastAsia="Arial Unicode MS" w:cstheme="majorBidi"/>
        </w:rPr>
      </w:pPr>
      <w:r w:rsidRPr="00C97E74">
        <w:rPr>
          <w:rFonts w:eastAsia="Arial Unicode MS" w:cstheme="majorBidi"/>
        </w:rPr>
        <w:t>The Consultant must have familiarity with EU laws as well as Serbian laws and regulations, particularly the Law on General Administrative Procedure, data protection laws (GDPR), and national cybersecurity standards will be considered an advantage.</w:t>
      </w:r>
    </w:p>
    <w:p w14:paraId="7BE318D7" w14:textId="77777777" w:rsidR="003D7231" w:rsidRPr="00C97E74" w:rsidRDefault="003D7231" w:rsidP="003D7231">
      <w:pPr>
        <w:pStyle w:val="Bulit"/>
        <w:rPr>
          <w:rFonts w:eastAsia="Arial Unicode MS" w:cstheme="majorBidi"/>
        </w:rPr>
      </w:pPr>
      <w:r>
        <w:rPr>
          <w:rFonts w:eastAsia="Arial Unicode MS"/>
        </w:rPr>
        <w:t>The Consultant must</w:t>
      </w:r>
      <w:r w:rsidRPr="00C97E74">
        <w:rPr>
          <w:rFonts w:eastAsia="Arial Unicode MS" w:cstheme="majorBidi"/>
        </w:rPr>
        <w:t xml:space="preserve"> prove expertise in user research methodologies, stakeholder engagement, technical and strategic roadmap development, budget planning, and advisory roles in digital system development.</w:t>
      </w:r>
    </w:p>
    <w:p w14:paraId="523CE957" w14:textId="77777777" w:rsidR="003D7231" w:rsidRPr="00C97E74" w:rsidRDefault="003D7231" w:rsidP="003D7231">
      <w:pPr>
        <w:pStyle w:val="Bulit"/>
        <w:rPr>
          <w:rFonts w:eastAsia="Arial Unicode MS" w:cstheme="majorBidi"/>
        </w:rPr>
      </w:pPr>
      <w:r w:rsidRPr="00C97E74">
        <w:rPr>
          <w:rFonts w:eastAsia="Arial Unicode MS" w:cstheme="majorBidi"/>
        </w:rPr>
        <w:t>Experience with projects funded by or implemented in partnership with the World Bank, and familiarity with digital transformation projects in high-income countries will be highly advantageous.</w:t>
      </w:r>
    </w:p>
    <w:p w14:paraId="08E8ABA1" w14:textId="0F83EB3C" w:rsidR="002A2385" w:rsidRPr="00811754" w:rsidRDefault="002A2385" w:rsidP="005A20F5">
      <w:pPr>
        <w:pStyle w:val="Heading1"/>
      </w:pPr>
      <w:r w:rsidRPr="002A2385">
        <w:t>Team and Technical requirements</w:t>
      </w:r>
      <w:r w:rsidRPr="002A2385" w:rsidDel="00BF43E6">
        <w:t xml:space="preserve"> </w:t>
      </w:r>
    </w:p>
    <w:p w14:paraId="20091190" w14:textId="77777777" w:rsidR="00634A82" w:rsidRPr="00C97E74" w:rsidRDefault="00634A82" w:rsidP="00634A82">
      <w:pPr>
        <w:pStyle w:val="Heading2"/>
        <w:rPr>
          <w:rFonts w:eastAsia="Arial Unicode MS"/>
          <w:u w:color="000000"/>
          <w:bdr w:val="nil"/>
        </w:rPr>
      </w:pPr>
      <w:r w:rsidRPr="00C97E74">
        <w:rPr>
          <w:rFonts w:eastAsia="Arial Unicode MS"/>
          <w:u w:color="000000"/>
          <w:bdr w:val="nil"/>
        </w:rPr>
        <w:t>Key Expert 1: Project Manager / Team Leader</w:t>
      </w:r>
    </w:p>
    <w:p w14:paraId="16F39742" w14:textId="77777777" w:rsidR="00634A82" w:rsidRPr="00C97E74" w:rsidRDefault="00634A82" w:rsidP="00634A82">
      <w:pPr>
        <w:pStyle w:val="Bulit"/>
      </w:pPr>
      <w:r w:rsidRPr="00C97E74">
        <w:t>Bachelor’s degree in Management, Public Policy, Information Systems, Software Development, Economics, or a related discipline.</w:t>
      </w:r>
    </w:p>
    <w:p w14:paraId="19FE7F91" w14:textId="77777777" w:rsidR="00634A82" w:rsidRPr="00C97E74" w:rsidRDefault="00634A82" w:rsidP="00634A82">
      <w:pPr>
        <w:pStyle w:val="Bulit"/>
      </w:pPr>
      <w:r w:rsidRPr="00C97E74">
        <w:t>A minimum of 10 years in program or project management, with significant experience in at least three public sector engagements.</w:t>
      </w:r>
    </w:p>
    <w:p w14:paraId="5370A72E" w14:textId="77777777" w:rsidR="00634A82" w:rsidRPr="00C97E74" w:rsidRDefault="00634A82" w:rsidP="00634A82">
      <w:pPr>
        <w:pStyle w:val="Bulit"/>
      </w:pPr>
      <w:r w:rsidRPr="00C97E74">
        <w:t>Demonstrated success in leading multidisciplinary teams within complex, multi-stakeholder environments.</w:t>
      </w:r>
    </w:p>
    <w:p w14:paraId="23CA70D2" w14:textId="77777777" w:rsidR="00634A82" w:rsidRPr="00C97E74" w:rsidRDefault="00634A82" w:rsidP="00634A82">
      <w:pPr>
        <w:pStyle w:val="Bulit"/>
      </w:pPr>
      <w:r>
        <w:t xml:space="preserve">Proven track record in development of </w:t>
      </w:r>
      <w:r w:rsidRPr="00C97E74">
        <w:t>public sector frameworks.</w:t>
      </w:r>
    </w:p>
    <w:p w14:paraId="2856EB5A" w14:textId="77777777" w:rsidR="00634A82" w:rsidRPr="00C97E74" w:rsidRDefault="00634A82" w:rsidP="00634A82">
      <w:pPr>
        <w:pStyle w:val="Bulit"/>
      </w:pPr>
      <w:r w:rsidRPr="00C97E74">
        <w:lastRenderedPageBreak/>
        <w:t>Proficiency in project scoping, planning, execution, and reporting, especially in public or donor-funded contexts.</w:t>
      </w:r>
    </w:p>
    <w:p w14:paraId="298FA4FA" w14:textId="77777777" w:rsidR="00634A82" w:rsidRPr="00C97E74" w:rsidRDefault="00634A82" w:rsidP="00634A82">
      <w:pPr>
        <w:pStyle w:val="Bulit"/>
      </w:pPr>
      <w:r>
        <w:t>Experience with</w:t>
      </w:r>
      <w:r w:rsidRPr="00C97E74">
        <w:t xml:space="preserve"> agile methodologies and digital transformation processes.</w:t>
      </w:r>
    </w:p>
    <w:p w14:paraId="06B8D707" w14:textId="77777777" w:rsidR="00634A82" w:rsidRPr="00C97E74" w:rsidRDefault="00634A82" w:rsidP="00634A82">
      <w:pPr>
        <w:pStyle w:val="Bulit"/>
      </w:pPr>
      <w:r w:rsidRPr="00C97E74">
        <w:t>Experience engaging directly with government officials, public institutions, and senior stakeholders.</w:t>
      </w:r>
    </w:p>
    <w:p w14:paraId="7C1DD09A" w14:textId="77777777" w:rsidR="00634A82" w:rsidRPr="00C97E74" w:rsidRDefault="00634A82" w:rsidP="00634A82">
      <w:pPr>
        <w:pStyle w:val="Bulit"/>
      </w:pPr>
      <w:r w:rsidRPr="00C97E74">
        <w:t>Familiarity with policy frameworks and procurement processes, particularly within EU-funded projects</w:t>
      </w:r>
      <w:r>
        <w:t xml:space="preserve"> is a plus</w:t>
      </w:r>
      <w:r w:rsidRPr="00C97E74">
        <w:t>.</w:t>
      </w:r>
    </w:p>
    <w:p w14:paraId="1ED89278" w14:textId="77777777" w:rsidR="00634A82" w:rsidRPr="00C97E74" w:rsidRDefault="00634A82" w:rsidP="00634A82">
      <w:pPr>
        <w:pStyle w:val="Bulit"/>
      </w:pPr>
      <w:r w:rsidRPr="00C97E74">
        <w:t>Extensive experience leveraging business insights to address operational challenges, optimize processes, and enhance performance in EU-funded or similar multilateral projects.</w:t>
      </w:r>
    </w:p>
    <w:p w14:paraId="7577B612" w14:textId="77777777" w:rsidR="00634A82" w:rsidRPr="00C97E74" w:rsidRDefault="00634A82" w:rsidP="00634A82">
      <w:pPr>
        <w:pStyle w:val="Heading2"/>
        <w:rPr>
          <w:rFonts w:eastAsia="Arial Unicode MS"/>
          <w:u w:color="000000"/>
          <w:bdr w:val="nil"/>
        </w:rPr>
      </w:pPr>
      <w:r w:rsidRPr="00C97E74">
        <w:rPr>
          <w:rFonts w:eastAsia="Arial Unicode MS"/>
          <w:u w:color="000000"/>
          <w:bdr w:val="nil"/>
        </w:rPr>
        <w:t>Key Expert 2: UX Researcher / Designer</w:t>
      </w:r>
    </w:p>
    <w:p w14:paraId="0C90BE63" w14:textId="77777777" w:rsidR="00634A82" w:rsidRPr="00C97E74" w:rsidRDefault="00634A82" w:rsidP="00634A82">
      <w:pPr>
        <w:pStyle w:val="Bulit"/>
      </w:pPr>
      <w:r w:rsidRPr="00C97E74">
        <w:t>Bachelor’s degree in IT Design or Information Technologies.</w:t>
      </w:r>
    </w:p>
    <w:p w14:paraId="27E49A88" w14:textId="77777777" w:rsidR="00634A82" w:rsidRPr="00C97E74" w:rsidRDefault="00634A82" w:rsidP="00634A82">
      <w:pPr>
        <w:pStyle w:val="Bulit"/>
      </w:pPr>
      <w:r>
        <w:t xml:space="preserve">More than </w:t>
      </w:r>
      <w:r w:rsidRPr="00C97E74">
        <w:t>10 years of experience in UX, service design, and product strategy.</w:t>
      </w:r>
    </w:p>
    <w:p w14:paraId="08092096" w14:textId="77777777" w:rsidR="00634A82" w:rsidRPr="00C97E74" w:rsidRDefault="00634A82" w:rsidP="00634A82">
      <w:pPr>
        <w:pStyle w:val="Bulit"/>
      </w:pPr>
      <w:r w:rsidRPr="00C97E74">
        <w:t>Experience with digital services for the public sector or regulated environments.</w:t>
      </w:r>
    </w:p>
    <w:p w14:paraId="6133D16A" w14:textId="77777777" w:rsidR="00634A82" w:rsidRPr="00C97E74" w:rsidRDefault="00634A82" w:rsidP="00634A82">
      <w:pPr>
        <w:pStyle w:val="Bulit"/>
      </w:pPr>
      <w:r w:rsidRPr="00C97E74">
        <w:t>Demonstrated experience conducting research or design for government services, ideally involving citizen-facing portals.</w:t>
      </w:r>
    </w:p>
    <w:p w14:paraId="1BF5AED2" w14:textId="77777777" w:rsidR="00634A82" w:rsidRPr="00C97E74" w:rsidRDefault="00634A82" w:rsidP="00634A82">
      <w:pPr>
        <w:pStyle w:val="Bulit"/>
      </w:pPr>
      <w:r>
        <w:t>Experience</w:t>
      </w:r>
      <w:r w:rsidRPr="00C97E74">
        <w:t xml:space="preserve"> in human-centered research methods and translating insights into impactful user experiences.</w:t>
      </w:r>
    </w:p>
    <w:p w14:paraId="3B406390" w14:textId="77777777" w:rsidR="00634A82" w:rsidRPr="00C97E74" w:rsidRDefault="00634A82" w:rsidP="00634A82">
      <w:pPr>
        <w:pStyle w:val="Bulit"/>
      </w:pPr>
      <w:r>
        <w:t xml:space="preserve">Proven track record </w:t>
      </w:r>
      <w:r w:rsidRPr="00C97E74">
        <w:t>in qualitative and quantitative research methods including interviews, usability testing, surveys, ethnographic observation, and A/B testing.</w:t>
      </w:r>
    </w:p>
    <w:p w14:paraId="30386AC6" w14:textId="77777777" w:rsidR="00634A82" w:rsidRPr="00C97E74" w:rsidRDefault="00634A82" w:rsidP="00634A82">
      <w:pPr>
        <w:pStyle w:val="Bulit"/>
      </w:pPr>
      <w:r w:rsidRPr="00C97E74">
        <w:t>Strong knowledge of accessibility requirements, assistive technology support, and multilingual usability.</w:t>
      </w:r>
    </w:p>
    <w:p w14:paraId="7F64F123" w14:textId="77777777" w:rsidR="00634A82" w:rsidRPr="00C97E74" w:rsidRDefault="00634A82" w:rsidP="00634A82">
      <w:pPr>
        <w:pStyle w:val="Bulit"/>
      </w:pPr>
      <w:r w:rsidRPr="00C97E74">
        <w:t>Experienced in synthesizing research into personas, user journey maps, empathy maps, and service blueprints.</w:t>
      </w:r>
    </w:p>
    <w:p w14:paraId="5E83C94B" w14:textId="77777777" w:rsidR="00634A82" w:rsidRPr="00C97E74" w:rsidRDefault="00634A82" w:rsidP="00634A82">
      <w:pPr>
        <w:pStyle w:val="Bulit"/>
      </w:pPr>
      <w:r>
        <w:t>Experience</w:t>
      </w:r>
      <w:r w:rsidRPr="00C97E74">
        <w:t xml:space="preserve"> with public sector user types, including citizens with low digital literacy and multilingual needs.</w:t>
      </w:r>
    </w:p>
    <w:p w14:paraId="00CE2C93" w14:textId="77777777" w:rsidR="00634A82" w:rsidRPr="00C97E74" w:rsidRDefault="00634A82" w:rsidP="00634A82">
      <w:pPr>
        <w:pStyle w:val="Bulit"/>
      </w:pPr>
      <w:r w:rsidRPr="00C97E74">
        <w:t>Skilled in synthesizing complex data into clear, human-focused user interface.</w:t>
      </w:r>
    </w:p>
    <w:p w14:paraId="0090AD37" w14:textId="77777777" w:rsidR="00634A82" w:rsidRPr="00C97E74" w:rsidRDefault="00634A82" w:rsidP="00634A82">
      <w:pPr>
        <w:pStyle w:val="Bulit"/>
      </w:pPr>
      <w:r w:rsidRPr="00C97E74">
        <w:t>Proven track record of aligning design with organizational goals, scalability, and policy requirements.</w:t>
      </w:r>
    </w:p>
    <w:p w14:paraId="4951D818" w14:textId="77777777" w:rsidR="00634A82" w:rsidRPr="00C97E74" w:rsidRDefault="00634A82" w:rsidP="00634A82">
      <w:pPr>
        <w:pStyle w:val="Bulit"/>
      </w:pPr>
      <w:r>
        <w:t>Proven track record in</w:t>
      </w:r>
      <w:r w:rsidRPr="00C97E74">
        <w:t xml:space="preserve"> translat</w:t>
      </w:r>
      <w:r>
        <w:t>ing</w:t>
      </w:r>
      <w:r w:rsidRPr="00C97E74">
        <w:t xml:space="preserve"> research into actionable wireframes, prototypes, or high-fidelity UI recommendations.</w:t>
      </w:r>
    </w:p>
    <w:p w14:paraId="63DBF023" w14:textId="77777777" w:rsidR="00634A82" w:rsidRPr="00C97E74" w:rsidRDefault="00634A82" w:rsidP="00634A82">
      <w:pPr>
        <w:pStyle w:val="Bulit"/>
      </w:pPr>
      <w:r w:rsidRPr="00C97E74">
        <w:t xml:space="preserve">Experience with tools such as </w:t>
      </w:r>
      <w:r w:rsidRPr="00C97E74">
        <w:rPr>
          <w:b/>
        </w:rPr>
        <w:t>Figma</w:t>
      </w:r>
      <w:r w:rsidRPr="00C97E74">
        <w:t xml:space="preserve">, </w:t>
      </w:r>
      <w:r w:rsidRPr="00C97E74">
        <w:rPr>
          <w:b/>
        </w:rPr>
        <w:t>Sketch</w:t>
      </w:r>
      <w:r w:rsidRPr="00C97E74">
        <w:t xml:space="preserve"> or similar platforms.</w:t>
      </w:r>
    </w:p>
    <w:p w14:paraId="07985106" w14:textId="77777777" w:rsidR="00634A82" w:rsidRPr="00C97E74" w:rsidRDefault="00634A82" w:rsidP="00634A82">
      <w:pPr>
        <w:pStyle w:val="Bulit"/>
      </w:pPr>
      <w:r w:rsidRPr="00C97E74">
        <w:t>Experience in creating and structuring design systems.</w:t>
      </w:r>
    </w:p>
    <w:p w14:paraId="796912A4" w14:textId="77777777" w:rsidR="00634A82" w:rsidRPr="00C97E74" w:rsidRDefault="00634A82" w:rsidP="00634A82">
      <w:pPr>
        <w:pStyle w:val="Bulit"/>
      </w:pPr>
      <w:r w:rsidRPr="00C97E74">
        <w:t>Demonstrated ability to lead design engagements and present findings to executive or policy-level stakeholders.</w:t>
      </w:r>
    </w:p>
    <w:p w14:paraId="4EFD1803" w14:textId="77777777" w:rsidR="00634A82" w:rsidRPr="00C97E74" w:rsidRDefault="00634A82" w:rsidP="00634A82">
      <w:pPr>
        <w:pStyle w:val="Bulit"/>
      </w:pPr>
      <w:r>
        <w:lastRenderedPageBreak/>
        <w:t xml:space="preserve">More than </w:t>
      </w:r>
      <w:r w:rsidRPr="00C97E74">
        <w:t>10 years of experience leading human-centered research activities and translating insights into actionable design recommendations that ensure usability, accessibility, and citizen-centered service design.</w:t>
      </w:r>
    </w:p>
    <w:p w14:paraId="5E8EFD6F" w14:textId="77777777" w:rsidR="00634A82" w:rsidRPr="00EF096B" w:rsidRDefault="00634A82" w:rsidP="00634A82">
      <w:pPr>
        <w:pStyle w:val="Bulit"/>
        <w:rPr>
          <w:rFonts w:eastAsia="Arial Unicode MS"/>
        </w:rPr>
      </w:pPr>
      <w:r w:rsidRPr="00C97E74">
        <w:t>Experienced in designing scalable digital products.</w:t>
      </w:r>
    </w:p>
    <w:p w14:paraId="2E9D7D11" w14:textId="77777777" w:rsidR="00634A82" w:rsidRPr="00C97E74" w:rsidRDefault="00634A82" w:rsidP="00634A82">
      <w:pPr>
        <w:pStyle w:val="Heading2"/>
        <w:rPr>
          <w:rFonts w:eastAsia="Arial Unicode MS"/>
          <w:u w:color="000000"/>
          <w:bdr w:val="nil"/>
        </w:rPr>
      </w:pPr>
      <w:r w:rsidRPr="00C97E74">
        <w:rPr>
          <w:rFonts w:eastAsia="Arial Unicode MS"/>
          <w:u w:color="000000"/>
          <w:bdr w:val="nil"/>
        </w:rPr>
        <w:t>Key Expert 3: Digital Identity &amp; Compliance Expert</w:t>
      </w:r>
    </w:p>
    <w:p w14:paraId="6AD3C4AC" w14:textId="77777777" w:rsidR="00634A82" w:rsidRDefault="00634A82" w:rsidP="00634A82">
      <w:pPr>
        <w:pStyle w:val="Bulit"/>
      </w:pPr>
      <w:r w:rsidRPr="00C97E74">
        <w:t xml:space="preserve">Bachelor’s or Master’s degree in </w:t>
      </w:r>
      <w:r w:rsidRPr="00C97E74">
        <w:rPr>
          <w:b/>
        </w:rPr>
        <w:t>Law</w:t>
      </w:r>
      <w:r w:rsidRPr="00C97E74">
        <w:t xml:space="preserve">, </w:t>
      </w:r>
      <w:r w:rsidRPr="00C97E74">
        <w:rPr>
          <w:b/>
        </w:rPr>
        <w:t>Information Security</w:t>
      </w:r>
      <w:r w:rsidRPr="00C97E74">
        <w:t xml:space="preserve">, </w:t>
      </w:r>
      <w:r w:rsidRPr="00C97E74">
        <w:rPr>
          <w:b/>
        </w:rPr>
        <w:t>Computer Science</w:t>
      </w:r>
      <w:r w:rsidRPr="00C97E74">
        <w:t xml:space="preserve">, </w:t>
      </w:r>
      <w:r w:rsidRPr="00C97E74">
        <w:rPr>
          <w:b/>
        </w:rPr>
        <w:t>Public Policy</w:t>
      </w:r>
      <w:r w:rsidRPr="00C97E74">
        <w:t>, or a related discipline.</w:t>
      </w:r>
      <w:r w:rsidRPr="00065A80">
        <w:t xml:space="preserve"> </w:t>
      </w:r>
    </w:p>
    <w:p w14:paraId="592CEFF9" w14:textId="77777777" w:rsidR="00634A82" w:rsidRDefault="00634A82" w:rsidP="00634A82">
      <w:pPr>
        <w:pStyle w:val="Bulit"/>
      </w:pPr>
      <w:r>
        <w:t xml:space="preserve">Strong understanding of </w:t>
      </w:r>
      <w:r w:rsidRPr="00DF0B9F">
        <w:rPr>
          <w:b/>
        </w:rPr>
        <w:t>open standards</w:t>
      </w:r>
      <w:r>
        <w:rPr>
          <w:b/>
        </w:rPr>
        <w:t xml:space="preserve"> </w:t>
      </w:r>
      <w:r>
        <w:rPr>
          <w:bCs w:val="0"/>
        </w:rPr>
        <w:t>for verifiable credentials (W3C VC, ISO mDL/mdoc) digital ID wallets (EU ARF), federated digital identity</w:t>
      </w:r>
      <w:r>
        <w:t xml:space="preserve"> (OAuth2, OpenID Connect), component-based architectures (RESTful APIs) and compliant integration practices, cloud migration, security, and platform interoperability initiatives.</w:t>
      </w:r>
    </w:p>
    <w:p w14:paraId="2BFEF61B" w14:textId="77777777" w:rsidR="00634A82" w:rsidRPr="00C97E74" w:rsidRDefault="00634A82" w:rsidP="00634A82">
      <w:pPr>
        <w:pStyle w:val="Bulit"/>
      </w:pPr>
      <w:r w:rsidRPr="00C97E74">
        <w:t xml:space="preserve">Additional training or certification in </w:t>
      </w:r>
      <w:r w:rsidRPr="00C97E74">
        <w:rPr>
          <w:b/>
        </w:rPr>
        <w:t>Data Protection (e.g., CIPP/E, CIPM)</w:t>
      </w:r>
      <w:r w:rsidRPr="00C97E74">
        <w:t xml:space="preserve">, </w:t>
      </w:r>
      <w:r w:rsidRPr="00C97E74">
        <w:rPr>
          <w:b/>
        </w:rPr>
        <w:t>Cybersecurity (e.g., CISSP)</w:t>
      </w:r>
      <w:r w:rsidRPr="00C97E74">
        <w:t xml:space="preserve">, or </w:t>
      </w:r>
      <w:r w:rsidRPr="00C97E74">
        <w:rPr>
          <w:b/>
        </w:rPr>
        <w:t>Digital Identity (e.g., DIACC, Kantara)</w:t>
      </w:r>
      <w:r w:rsidRPr="00C97E74">
        <w:t xml:space="preserve"> is advantageous.</w:t>
      </w:r>
    </w:p>
    <w:p w14:paraId="6F342AB2" w14:textId="77777777" w:rsidR="00634A82" w:rsidRPr="00C97E74" w:rsidRDefault="00634A82" w:rsidP="00634A82">
      <w:pPr>
        <w:pStyle w:val="Bulit"/>
      </w:pPr>
      <w:r w:rsidRPr="00C97E74">
        <w:t xml:space="preserve">In-depth understanding of </w:t>
      </w:r>
      <w:r w:rsidRPr="00C97E74">
        <w:rPr>
          <w:b/>
        </w:rPr>
        <w:t>EU legislation</w:t>
      </w:r>
      <w:r w:rsidRPr="00C97E74">
        <w:t xml:space="preserve">, including: the </w:t>
      </w:r>
      <w:r w:rsidRPr="00C97E74">
        <w:rPr>
          <w:b/>
        </w:rPr>
        <w:t>European Digital Identity</w:t>
      </w:r>
      <w:r w:rsidRPr="00C97E74">
        <w:t xml:space="preserve"> framework</w:t>
      </w:r>
      <w:r w:rsidRPr="00E540F4">
        <w:rPr>
          <w:b/>
        </w:rPr>
        <w:t xml:space="preserve"> </w:t>
      </w:r>
      <w:r w:rsidRPr="0009105F">
        <w:rPr>
          <w:bCs w:val="0"/>
        </w:rPr>
        <w:t>(eIDAS 2.0)</w:t>
      </w:r>
      <w:r w:rsidRPr="00E540F4">
        <w:rPr>
          <w:bCs w:val="0"/>
        </w:rPr>
        <w:t>,</w:t>
      </w:r>
      <w:r w:rsidRPr="00C97E74">
        <w:t xml:space="preserve"> </w:t>
      </w:r>
      <w:r w:rsidRPr="00C97E74">
        <w:rPr>
          <w:b/>
        </w:rPr>
        <w:t>GDPR</w:t>
      </w:r>
      <w:r w:rsidRPr="00C97E74">
        <w:t xml:space="preserve"> and national implementations of data protection laws, </w:t>
      </w:r>
      <w:r w:rsidRPr="00C97E74">
        <w:rPr>
          <w:rFonts w:eastAsia="Arial Unicode MS"/>
        </w:rPr>
        <w:t>public</w:t>
      </w:r>
      <w:r w:rsidRPr="00C97E74">
        <w:t xml:space="preserve"> sector interoperability frameworks (</w:t>
      </w:r>
      <w:r w:rsidRPr="00C97E74">
        <w:rPr>
          <w:rFonts w:eastAsia="Arial Unicode MS"/>
        </w:rPr>
        <w:t>e.g.,</w:t>
      </w:r>
      <w:r w:rsidRPr="00C97E74">
        <w:t xml:space="preserve"> EIF)</w:t>
      </w:r>
      <w:r>
        <w:t>, cybersecurity legislation (NIS2).</w:t>
      </w:r>
    </w:p>
    <w:p w14:paraId="3F56D40B" w14:textId="77777777" w:rsidR="00634A82" w:rsidRPr="00C97E74" w:rsidRDefault="00634A82" w:rsidP="00634A82">
      <w:pPr>
        <w:pStyle w:val="Bulit"/>
      </w:pPr>
      <w:r w:rsidRPr="00C97E74">
        <w:t xml:space="preserve">Familiarity with international standards </w:t>
      </w:r>
      <w:r>
        <w:t xml:space="preserve">such as </w:t>
      </w:r>
      <w:r w:rsidRPr="00E540F4">
        <w:t xml:space="preserve">ISO/IEC 24760, ISO/IEC 29115, NIST SP 800-63, ISO/IEC 18013-5 (mobile driving licenses), ETSI TS 119 461 (electronic identity wallets), </w:t>
      </w:r>
      <w:r>
        <w:t xml:space="preserve">W3C Verifiable Credentials 2.0, </w:t>
      </w:r>
      <w:r w:rsidRPr="00E540F4">
        <w:t>and relevant ETSI/CEN standards for Qualified Trust Services.</w:t>
      </w:r>
      <w:r w:rsidRPr="00E540F4" w:rsidDel="00E540F4">
        <w:t xml:space="preserve"> </w:t>
      </w:r>
    </w:p>
    <w:p w14:paraId="01117AB3" w14:textId="77777777" w:rsidR="00634A82" w:rsidRPr="00C97E74" w:rsidRDefault="00634A82" w:rsidP="00634A82">
      <w:pPr>
        <w:pStyle w:val="Bulit"/>
      </w:pPr>
      <w:r w:rsidRPr="00C97E74">
        <w:t xml:space="preserve">Proven ability to perform </w:t>
      </w:r>
      <w:r w:rsidRPr="00C97E74">
        <w:rPr>
          <w:b/>
        </w:rPr>
        <w:t>regulatory gap analysis</w:t>
      </w:r>
      <w:r w:rsidRPr="00C97E74">
        <w:t xml:space="preserve">, design </w:t>
      </w:r>
      <w:r w:rsidRPr="00C97E74">
        <w:rPr>
          <w:b/>
        </w:rPr>
        <w:t>compliance strategies</w:t>
      </w:r>
      <w:r w:rsidRPr="00C97E74">
        <w:t xml:space="preserve">, and advise on </w:t>
      </w:r>
      <w:r w:rsidRPr="00C97E74">
        <w:rPr>
          <w:b/>
        </w:rPr>
        <w:t>privacy-preserving architectures</w:t>
      </w:r>
      <w:r w:rsidRPr="00C97E74">
        <w:t>.</w:t>
      </w:r>
    </w:p>
    <w:p w14:paraId="169CCA32" w14:textId="77777777" w:rsidR="00634A82" w:rsidRPr="00C97E74" w:rsidRDefault="00634A82" w:rsidP="00634A82">
      <w:pPr>
        <w:pStyle w:val="Bulit"/>
      </w:pPr>
      <w:r w:rsidRPr="00C97E74">
        <w:t xml:space="preserve">Experience working with </w:t>
      </w:r>
      <w:r w:rsidRPr="00C97E74">
        <w:rPr>
          <w:b/>
        </w:rPr>
        <w:t>Data Protection Officers (DPOs)</w:t>
      </w:r>
      <w:r w:rsidRPr="00C97E74">
        <w:t xml:space="preserve"> and institutional legal teams in the public sector.</w:t>
      </w:r>
    </w:p>
    <w:p w14:paraId="1805973E" w14:textId="77777777" w:rsidR="00634A82" w:rsidRPr="00C97E74" w:rsidRDefault="00634A82" w:rsidP="00634A82">
      <w:pPr>
        <w:pStyle w:val="Bulit"/>
      </w:pPr>
      <w:r w:rsidRPr="00C97E74">
        <w:t>Skilled at translating technical risks and legal obligations into policy-friendly language and advisory recommendations.</w:t>
      </w:r>
    </w:p>
    <w:p w14:paraId="2987D18C" w14:textId="77777777" w:rsidR="00634A82" w:rsidRPr="00C97E74" w:rsidRDefault="00634A82" w:rsidP="00634A82">
      <w:pPr>
        <w:pStyle w:val="Bulit"/>
      </w:pPr>
      <w:r w:rsidRPr="00C97E74">
        <w:t xml:space="preserve">Able to articulate complex legal and technical issues clearly to </w:t>
      </w:r>
      <w:r w:rsidRPr="00C97E74">
        <w:rPr>
          <w:b/>
        </w:rPr>
        <w:t>non-expert audiences</w:t>
      </w:r>
      <w:r w:rsidRPr="00C97E74">
        <w:t>, including senior civil servants and policy advisors.</w:t>
      </w:r>
    </w:p>
    <w:p w14:paraId="5A7EA38A" w14:textId="77777777" w:rsidR="00634A82" w:rsidRPr="00C97E74" w:rsidRDefault="00634A82" w:rsidP="00634A82">
      <w:pPr>
        <w:pStyle w:val="Bulit"/>
      </w:pPr>
      <w:r w:rsidRPr="00C97E74">
        <w:t xml:space="preserve">Comfortable participating in </w:t>
      </w:r>
      <w:r w:rsidRPr="00C97E74">
        <w:rPr>
          <w:b/>
        </w:rPr>
        <w:t>multi-disciplinary teams</w:t>
      </w:r>
      <w:r w:rsidRPr="00C97E74">
        <w:t>, supporting architects, legal advisors, and service designers alike.</w:t>
      </w:r>
    </w:p>
    <w:p w14:paraId="4754C5C1" w14:textId="77777777" w:rsidR="00634A82" w:rsidRPr="00B266B5" w:rsidRDefault="00634A82" w:rsidP="00634A82">
      <w:pPr>
        <w:pStyle w:val="Bulit"/>
        <w:rPr>
          <w:rFonts w:eastAsia="Arial Unicode MS"/>
        </w:rPr>
      </w:pPr>
      <w:r>
        <w:t xml:space="preserve">More than </w:t>
      </w:r>
      <w:r w:rsidRPr="00C97E74">
        <w:t>8 years in digital identity or data protection, or legal-tech, with direct experience in EU compliance.</w:t>
      </w:r>
    </w:p>
    <w:p w14:paraId="1A334C64" w14:textId="77777777" w:rsidR="00634A82" w:rsidRPr="00065A80" w:rsidRDefault="00634A82" w:rsidP="00634A82">
      <w:pPr>
        <w:pStyle w:val="Heading2"/>
        <w:rPr>
          <w:rFonts w:eastAsia="Calibri"/>
        </w:rPr>
      </w:pPr>
      <w:r>
        <w:rPr>
          <w:rFonts w:eastAsia="Calibri"/>
        </w:rPr>
        <w:t>Non-Key 1:  Technical Architect</w:t>
      </w:r>
    </w:p>
    <w:p w14:paraId="3D06528C" w14:textId="77777777" w:rsidR="00634A82" w:rsidRDefault="00634A82" w:rsidP="00634A82">
      <w:pPr>
        <w:pStyle w:val="Bulit"/>
      </w:pPr>
      <w:r>
        <w:t xml:space="preserve">Bachelor’s or Master’s degree in </w:t>
      </w:r>
      <w:r>
        <w:rPr>
          <w:b/>
        </w:rPr>
        <w:t>Computer Science</w:t>
      </w:r>
      <w:r>
        <w:t xml:space="preserve">, </w:t>
      </w:r>
      <w:r>
        <w:rPr>
          <w:b/>
        </w:rPr>
        <w:t>Software Engineering</w:t>
      </w:r>
      <w:r>
        <w:t xml:space="preserve">, </w:t>
      </w:r>
      <w:r>
        <w:rPr>
          <w:b/>
        </w:rPr>
        <w:t>Information Systems</w:t>
      </w:r>
      <w:r>
        <w:t>, or a related technical discipline.</w:t>
      </w:r>
    </w:p>
    <w:p w14:paraId="3699A3DF" w14:textId="77777777" w:rsidR="00634A82" w:rsidRDefault="00634A82" w:rsidP="00634A82">
      <w:pPr>
        <w:pStyle w:val="Bulit"/>
      </w:pPr>
      <w:r>
        <w:t xml:space="preserve">Experience with leading the architectural design of </w:t>
      </w:r>
      <w:r>
        <w:rPr>
          <w:b/>
        </w:rPr>
        <w:t>high-availability, scalable platforms</w:t>
      </w:r>
      <w:r>
        <w:t xml:space="preserve">, including </w:t>
      </w:r>
      <w:r>
        <w:rPr>
          <w:b/>
        </w:rPr>
        <w:t>AI-powered</w:t>
      </w:r>
      <w:r>
        <w:t xml:space="preserve"> systems and </w:t>
      </w:r>
      <w:r>
        <w:rPr>
          <w:b/>
        </w:rPr>
        <w:t>high-traffic</w:t>
      </w:r>
      <w:r>
        <w:t xml:space="preserve"> platforms, ideally in the public sector or large enterprise environments.</w:t>
      </w:r>
    </w:p>
    <w:p w14:paraId="3F3061C7" w14:textId="77777777" w:rsidR="00634A82" w:rsidRDefault="00634A82" w:rsidP="00634A82">
      <w:pPr>
        <w:pStyle w:val="Bulit"/>
      </w:pPr>
      <w:r>
        <w:lastRenderedPageBreak/>
        <w:t xml:space="preserve">Skilled in applying </w:t>
      </w:r>
      <w:r>
        <w:rPr>
          <w:b/>
        </w:rPr>
        <w:t>microservices</w:t>
      </w:r>
      <w:r>
        <w:t xml:space="preserve">, </w:t>
      </w:r>
      <w:r>
        <w:rPr>
          <w:b/>
        </w:rPr>
        <w:t>event-driven</w:t>
      </w:r>
      <w:r>
        <w:t xml:space="preserve">, or </w:t>
      </w:r>
      <w:r>
        <w:rPr>
          <w:b/>
        </w:rPr>
        <w:t>API-first</w:t>
      </w:r>
      <w:r>
        <w:t xml:space="preserve"> architectures aligned with interoperability standards.</w:t>
      </w:r>
    </w:p>
    <w:p w14:paraId="3E23D8DF" w14:textId="77777777" w:rsidR="00634A82" w:rsidRDefault="00634A82" w:rsidP="00634A82">
      <w:pPr>
        <w:pStyle w:val="Bulit"/>
      </w:pPr>
      <w:r>
        <w:t xml:space="preserve">Strong understanding of </w:t>
      </w:r>
      <w:r w:rsidRPr="00DF0B9F">
        <w:rPr>
          <w:b/>
        </w:rPr>
        <w:t>open standards</w:t>
      </w:r>
      <w:r>
        <w:rPr>
          <w:b/>
        </w:rPr>
        <w:t xml:space="preserve"> </w:t>
      </w:r>
      <w:r>
        <w:rPr>
          <w:bCs w:val="0"/>
        </w:rPr>
        <w:t>for verifiable credentials (W3C VC, ISO mDL/mdoc) digital ID wallets (EU ARF), federated digital identity</w:t>
      </w:r>
      <w:r>
        <w:t xml:space="preserve"> (OAuth2, OpenID Connect), component-based architectures (RESTful APIs) and compliant integration practices, cloud migration, security, and platform interoperability initiatives.</w:t>
      </w:r>
    </w:p>
    <w:p w14:paraId="0043CB17" w14:textId="77777777" w:rsidR="00634A82" w:rsidRDefault="00634A82" w:rsidP="00634A82">
      <w:pPr>
        <w:pStyle w:val="Bulit"/>
      </w:pPr>
      <w:r>
        <w:t xml:space="preserve">Deep experience working with </w:t>
      </w:r>
      <w:r>
        <w:rPr>
          <w:b/>
        </w:rPr>
        <w:t>Cloud Platforms </w:t>
      </w:r>
      <w:r>
        <w:t xml:space="preserve">and building </w:t>
      </w:r>
      <w:r>
        <w:rPr>
          <w:b/>
        </w:rPr>
        <w:t>secure-by-design</w:t>
      </w:r>
      <w:r>
        <w:t xml:space="preserve"> architectures, with direct oversight of compliance across regulated sectors.</w:t>
      </w:r>
    </w:p>
    <w:p w14:paraId="43D2F04C" w14:textId="77777777" w:rsidR="00634A82" w:rsidRDefault="00634A82" w:rsidP="00634A82">
      <w:pPr>
        <w:pStyle w:val="Bulit"/>
      </w:pPr>
      <w:r>
        <w:t xml:space="preserve">Ability to design systems that integrate with </w:t>
      </w:r>
      <w:r>
        <w:rPr>
          <w:b/>
        </w:rPr>
        <w:t>national registries</w:t>
      </w:r>
      <w:r>
        <w:t xml:space="preserve">, </w:t>
      </w:r>
      <w:r>
        <w:rPr>
          <w:b/>
        </w:rPr>
        <w:t>identity providers</w:t>
      </w:r>
      <w:r>
        <w:t xml:space="preserve">, and </w:t>
      </w:r>
      <w:r>
        <w:rPr>
          <w:b/>
        </w:rPr>
        <w:t>public sector APIs</w:t>
      </w:r>
      <w:r>
        <w:t>.</w:t>
      </w:r>
    </w:p>
    <w:p w14:paraId="0E595D45" w14:textId="77777777" w:rsidR="00634A82" w:rsidRDefault="00634A82" w:rsidP="00634A82">
      <w:pPr>
        <w:pStyle w:val="Bulit"/>
      </w:pPr>
      <w:r>
        <w:t xml:space="preserve">Experience evaluating, recommending, and implementing </w:t>
      </w:r>
      <w:r>
        <w:rPr>
          <w:b/>
        </w:rPr>
        <w:t>vendor-neutral</w:t>
      </w:r>
      <w:r>
        <w:t xml:space="preserve"> technology stacks using Spring Boot, .NET, React/Angular, and Python.</w:t>
      </w:r>
    </w:p>
    <w:p w14:paraId="155BD0C6" w14:textId="77777777" w:rsidR="00634A82" w:rsidRDefault="00634A82" w:rsidP="00634A82">
      <w:pPr>
        <w:pStyle w:val="Bulit"/>
      </w:pPr>
      <w:r>
        <w:t xml:space="preserve">Skilled at producing </w:t>
      </w:r>
      <w:r>
        <w:rPr>
          <w:b/>
        </w:rPr>
        <w:t>reference architectures</w:t>
      </w:r>
      <w:r>
        <w:t xml:space="preserve">, </w:t>
      </w:r>
      <w:r>
        <w:rPr>
          <w:b/>
        </w:rPr>
        <w:t>technical risk assessments</w:t>
      </w:r>
      <w:r>
        <w:t xml:space="preserve">, and </w:t>
      </w:r>
      <w:r>
        <w:rPr>
          <w:b/>
        </w:rPr>
        <w:t>transition strategies</w:t>
      </w:r>
      <w:r>
        <w:t xml:space="preserve"> for legacy modernization.</w:t>
      </w:r>
    </w:p>
    <w:p w14:paraId="7E64F1F3" w14:textId="77777777" w:rsidR="00634A82" w:rsidRDefault="00634A82" w:rsidP="00634A82">
      <w:pPr>
        <w:pStyle w:val="Bulit"/>
      </w:pPr>
      <w:r>
        <w:t xml:space="preserve">Good working knowledge of </w:t>
      </w:r>
      <w:r>
        <w:rPr>
          <w:b/>
        </w:rPr>
        <w:t>security-by-design principles</w:t>
      </w:r>
      <w:r>
        <w:t xml:space="preserve">, </w:t>
      </w:r>
      <w:r>
        <w:rPr>
          <w:b/>
        </w:rPr>
        <w:t>data encryption</w:t>
      </w:r>
      <w:r>
        <w:t xml:space="preserve">, </w:t>
      </w:r>
      <w:r>
        <w:rPr>
          <w:b/>
        </w:rPr>
        <w:t>key management</w:t>
      </w:r>
      <w:r>
        <w:t>, and secure storage practices.</w:t>
      </w:r>
    </w:p>
    <w:p w14:paraId="01A2F60F" w14:textId="77777777" w:rsidR="00634A82" w:rsidRDefault="00634A82" w:rsidP="00634A82">
      <w:pPr>
        <w:pStyle w:val="Bulit"/>
      </w:pPr>
      <w:r>
        <w:t xml:space="preserve">Proven ability to define </w:t>
      </w:r>
      <w:r>
        <w:rPr>
          <w:b/>
        </w:rPr>
        <w:t>enterprise-level architecture strategies</w:t>
      </w:r>
      <w:r>
        <w:t xml:space="preserve"> and align them with business goals across multiple industries and stakeholders.</w:t>
      </w:r>
    </w:p>
    <w:p w14:paraId="63C65DD0" w14:textId="77777777" w:rsidR="00634A82" w:rsidRDefault="00634A82" w:rsidP="00634A82">
      <w:pPr>
        <w:pStyle w:val="Bulit"/>
      </w:pPr>
      <w:r>
        <w:t xml:space="preserve">Experienced in </w:t>
      </w:r>
      <w:r>
        <w:rPr>
          <w:b/>
        </w:rPr>
        <w:t>agile environments</w:t>
      </w:r>
      <w:r>
        <w:t xml:space="preserve"> and </w:t>
      </w:r>
      <w:r>
        <w:rPr>
          <w:b/>
        </w:rPr>
        <w:t>leading cross-functional</w:t>
      </w:r>
      <w:r>
        <w:t xml:space="preserve"> teams of designers, compliance experts, and aligning them with client stakeholders.</w:t>
      </w:r>
    </w:p>
    <w:p w14:paraId="4C09CF87" w14:textId="77777777" w:rsidR="00634A82" w:rsidRDefault="00634A82" w:rsidP="00634A82">
      <w:pPr>
        <w:pStyle w:val="Bulit"/>
      </w:pPr>
      <w:r>
        <w:t xml:space="preserve">Experience working on </w:t>
      </w:r>
      <w:r>
        <w:rPr>
          <w:b/>
        </w:rPr>
        <w:t>national platforms</w:t>
      </w:r>
      <w:r>
        <w:t xml:space="preserve">, </w:t>
      </w:r>
      <w:r>
        <w:rPr>
          <w:b/>
        </w:rPr>
        <w:t>digital identity systems</w:t>
      </w:r>
      <w:r>
        <w:t xml:space="preserve">, or </w:t>
      </w:r>
      <w:r>
        <w:rPr>
          <w:b/>
        </w:rPr>
        <w:t>e-governance infrastructure</w:t>
      </w:r>
      <w:r>
        <w:t xml:space="preserve"> is strongly preferred.</w:t>
      </w:r>
    </w:p>
    <w:p w14:paraId="2F6B409E" w14:textId="77777777" w:rsidR="00634A82" w:rsidRDefault="00634A82" w:rsidP="00634A82">
      <w:pPr>
        <w:pStyle w:val="Bulit"/>
      </w:pPr>
      <w:r>
        <w:t xml:space="preserve">Comfortable presenting architectural recommendations to </w:t>
      </w:r>
      <w:r>
        <w:rPr>
          <w:b/>
        </w:rPr>
        <w:t>non-technical stakeholders</w:t>
      </w:r>
      <w:r>
        <w:t xml:space="preserve"> in ministries or donor organizations.</w:t>
      </w:r>
    </w:p>
    <w:p w14:paraId="409AA751" w14:textId="77777777" w:rsidR="00634A82" w:rsidRDefault="00634A82" w:rsidP="00634A82">
      <w:pPr>
        <w:pStyle w:val="Bulit"/>
      </w:pPr>
      <w:r>
        <w:t xml:space="preserve">Frequently engaged in </w:t>
      </w:r>
      <w:r>
        <w:rPr>
          <w:b/>
        </w:rPr>
        <w:t>architecture advisory</w:t>
      </w:r>
      <w:r>
        <w:t>, client workshops, and technology strategy presentations for high-stakes initiatives.</w:t>
      </w:r>
    </w:p>
    <w:p w14:paraId="0811B7EE" w14:textId="77777777" w:rsidR="00634A82" w:rsidRPr="00EF096B" w:rsidRDefault="00634A82" w:rsidP="00634A82">
      <w:pPr>
        <w:pStyle w:val="Bulit"/>
        <w:rPr>
          <w:rFonts w:cstheme="majorBidi"/>
        </w:rPr>
      </w:pPr>
      <w:r>
        <w:t xml:space="preserve">More than </w:t>
      </w:r>
      <w:r w:rsidRPr="00EF096B">
        <w:t xml:space="preserve">10 years in software architecture, including </w:t>
      </w:r>
      <w:r>
        <w:t xml:space="preserve">at least </w:t>
      </w:r>
      <w:r w:rsidRPr="00EF096B">
        <w:t>3 years designing government or large-scale platforms.</w:t>
      </w:r>
    </w:p>
    <w:p w14:paraId="2AC9CF59" w14:textId="77777777" w:rsidR="00634A82" w:rsidRDefault="00634A82" w:rsidP="00634A82">
      <w:pPr>
        <w:pStyle w:val="Heading2"/>
        <w:rPr>
          <w:rFonts w:eastAsia="Calibri"/>
        </w:rPr>
      </w:pPr>
      <w:r>
        <w:rPr>
          <w:rFonts w:eastAsia="Calibri"/>
        </w:rPr>
        <w:t>Non-Key 2:  Business Analyst</w:t>
      </w:r>
    </w:p>
    <w:p w14:paraId="1B24516A" w14:textId="77777777" w:rsidR="00634A82" w:rsidRDefault="00634A82" w:rsidP="00634A82">
      <w:pPr>
        <w:pStyle w:val="Bulit"/>
      </w:pPr>
      <w:r>
        <w:t>Bachelor’s or Master’s degree in Business Administration, Information Systems, Public Policy, Engineering, or related field.</w:t>
      </w:r>
    </w:p>
    <w:p w14:paraId="5B541F4E" w14:textId="77777777" w:rsidR="00634A82" w:rsidRDefault="00634A82" w:rsidP="00634A82">
      <w:pPr>
        <w:pStyle w:val="Bulit"/>
      </w:pPr>
      <w:r>
        <w:t>Relevant certifications such as CBAP (Certified Business Analysis Professional), PMI-PBA, or AgileBA are advantageous.</w:t>
      </w:r>
    </w:p>
    <w:p w14:paraId="4541DE55" w14:textId="77777777" w:rsidR="00634A82" w:rsidRDefault="00634A82" w:rsidP="00634A82">
      <w:pPr>
        <w:pStyle w:val="Bulit"/>
      </w:pPr>
      <w:r>
        <w:t>Skilled in eliciting, documenting, and validating business and functional requirements using structured techniques such as user stories, use cases, or process flows.</w:t>
      </w:r>
    </w:p>
    <w:p w14:paraId="0AFB4B68" w14:textId="77777777" w:rsidR="00634A82" w:rsidRDefault="00634A82" w:rsidP="00634A82">
      <w:pPr>
        <w:pStyle w:val="Bulit"/>
      </w:pPr>
      <w:r>
        <w:t>Experience modeling as-is and to-be business processes, identifying pain points, redundancies, and opportunities for digital enablement.</w:t>
      </w:r>
    </w:p>
    <w:p w14:paraId="6588972A" w14:textId="77777777" w:rsidR="00634A82" w:rsidRDefault="00634A82" w:rsidP="00634A82">
      <w:pPr>
        <w:pStyle w:val="Bulit"/>
      </w:pPr>
      <w:r>
        <w:t>Proficient in using standards like BPMN, UML, or Lean Six Sigma for process visualization.</w:t>
      </w:r>
    </w:p>
    <w:p w14:paraId="441C23EA" w14:textId="77777777" w:rsidR="00634A82" w:rsidRDefault="00634A82" w:rsidP="00634A82">
      <w:pPr>
        <w:pStyle w:val="Bulit"/>
      </w:pPr>
      <w:r>
        <w:lastRenderedPageBreak/>
        <w:t>Adept at translating complex stakeholder needs into clear, actionable inputs for designers, architects, and implementation teams.</w:t>
      </w:r>
    </w:p>
    <w:p w14:paraId="069A92F1" w14:textId="77777777" w:rsidR="00634A82" w:rsidRDefault="00634A82" w:rsidP="00634A82">
      <w:pPr>
        <w:pStyle w:val="Bulit"/>
      </w:pPr>
      <w:r>
        <w:t>Capable of aligning technical solutions with user needs, policy objectives, and institutional priorities.</w:t>
      </w:r>
    </w:p>
    <w:p w14:paraId="7303CD3D" w14:textId="77777777" w:rsidR="00634A82" w:rsidRDefault="00634A82" w:rsidP="00634A82">
      <w:pPr>
        <w:pStyle w:val="Bulit"/>
      </w:pPr>
      <w:r>
        <w:t>Experience with tools such as JIRA, Confluence, Miro, Lucidchart, or enterprise architecture platforms.</w:t>
      </w:r>
    </w:p>
    <w:p w14:paraId="73E58502" w14:textId="77777777" w:rsidR="00634A82" w:rsidRDefault="00634A82" w:rsidP="00634A82">
      <w:pPr>
        <w:pStyle w:val="Bulit"/>
      </w:pPr>
      <w:r>
        <w:t>Strong written and verbal communication skills, especially for presenting findings to non-technical audiences in government.</w:t>
      </w:r>
    </w:p>
    <w:p w14:paraId="472C94A3" w14:textId="77777777" w:rsidR="00634A82" w:rsidRDefault="00634A82" w:rsidP="00634A82">
      <w:pPr>
        <w:pStyle w:val="Bulit"/>
      </w:pPr>
      <w:r>
        <w:t>Experience facilitating workshops and co-design sessions to validate assumptions and refine priorities.</w:t>
      </w:r>
    </w:p>
    <w:p w14:paraId="144F153F" w14:textId="77777777" w:rsidR="00634A82" w:rsidRDefault="00634A82" w:rsidP="00634A82">
      <w:pPr>
        <w:pStyle w:val="Bulit"/>
      </w:pPr>
      <w:r>
        <w:t>Experience working with government institutions, particularly on citizen services, regulatory processes, or digital public goods, is an advantage.</w:t>
      </w:r>
    </w:p>
    <w:p w14:paraId="38EED82C" w14:textId="77777777" w:rsidR="00634A82" w:rsidRDefault="00634A82" w:rsidP="00634A82">
      <w:pPr>
        <w:pStyle w:val="Bulit"/>
      </w:pPr>
      <w:r>
        <w:t>More than 8 years in business analysis, preferably in digital transformation or public service modernization projects.</w:t>
      </w:r>
    </w:p>
    <w:p w14:paraId="3DE7D1FF" w14:textId="77777777" w:rsidR="00634A82" w:rsidRDefault="00634A82" w:rsidP="00634A82">
      <w:pPr>
        <w:pStyle w:val="Heading2"/>
        <w:rPr>
          <w:rFonts w:eastAsia="Calibri"/>
        </w:rPr>
      </w:pPr>
      <w:r>
        <w:rPr>
          <w:rFonts w:eastAsia="Calibri"/>
        </w:rPr>
        <w:t>Non-Key 3: Stakeholder Engagement Specialist</w:t>
      </w:r>
    </w:p>
    <w:p w14:paraId="016FFE74" w14:textId="77777777" w:rsidR="00634A82" w:rsidRDefault="00634A82" w:rsidP="00634A82">
      <w:pPr>
        <w:pStyle w:val="Bulit"/>
      </w:pPr>
      <w:r>
        <w:t>Bachelor’s or Master’s degree in Public Administration, Political Science, Communications, Sociology, Organizational Development, or a related field.</w:t>
      </w:r>
    </w:p>
    <w:p w14:paraId="40816150" w14:textId="77777777" w:rsidR="00634A82" w:rsidRDefault="00634A82" w:rsidP="00634A82">
      <w:pPr>
        <w:pStyle w:val="Bulit"/>
      </w:pPr>
      <w:r>
        <w:t>Skilled in developing stakeholder maps, identifying roles, interests, power dynamics, and potential alignment or friction points.</w:t>
      </w:r>
    </w:p>
    <w:p w14:paraId="3E7F043E" w14:textId="77777777" w:rsidR="00634A82" w:rsidRDefault="00634A82" w:rsidP="00634A82">
      <w:pPr>
        <w:pStyle w:val="Bulit"/>
      </w:pPr>
      <w:r>
        <w:t>Able to create and execute structured engagement plans, ensuring inclusive and meaningful participation across ministries, agencies, civil society, and citizen groups.</w:t>
      </w:r>
    </w:p>
    <w:p w14:paraId="29D29D16" w14:textId="77777777" w:rsidR="00634A82" w:rsidRDefault="00634A82" w:rsidP="00634A82">
      <w:pPr>
        <w:pStyle w:val="Bulit"/>
      </w:pPr>
      <w:r>
        <w:t>Experience tailoring communication strategies to suit technical, legal, political, and community stakeholders.</w:t>
      </w:r>
    </w:p>
    <w:p w14:paraId="0FE11150" w14:textId="77777777" w:rsidR="00634A82" w:rsidRDefault="00634A82" w:rsidP="00634A82">
      <w:pPr>
        <w:pStyle w:val="Bulit"/>
      </w:pPr>
      <w:r>
        <w:t>Proven experience in facilitating multilateral workshops, focus groups, and cross-sectoral consultations, including managing conflict and building consensus.</w:t>
      </w:r>
    </w:p>
    <w:p w14:paraId="4861E601" w14:textId="77777777" w:rsidR="00634A82" w:rsidRDefault="00634A82" w:rsidP="00634A82">
      <w:pPr>
        <w:pStyle w:val="Bulit"/>
      </w:pPr>
      <w:r>
        <w:t>Skilled in designing co-creation activities, feedback loops, and participatory formats suitable for government and institutional audiences.</w:t>
      </w:r>
    </w:p>
    <w:p w14:paraId="6EC19A30" w14:textId="77777777" w:rsidR="00634A82" w:rsidRDefault="00634A82" w:rsidP="00634A82">
      <w:pPr>
        <w:pStyle w:val="Bulit"/>
      </w:pPr>
      <w:r>
        <w:t>Deep understanding of government structures, policy cycles, and institutional sensitivities in public administration environments.</w:t>
      </w:r>
    </w:p>
    <w:p w14:paraId="14451DE0" w14:textId="77777777" w:rsidR="00634A82" w:rsidRDefault="00634A82" w:rsidP="00634A82">
      <w:pPr>
        <w:pStyle w:val="Bulit"/>
      </w:pPr>
      <w:r>
        <w:t>Experience working with ministries, regulators, municipalities, or public-private stakeholders in collaborative planning processes.</w:t>
      </w:r>
    </w:p>
    <w:p w14:paraId="3A97C65C" w14:textId="77777777" w:rsidR="00634A82" w:rsidRDefault="00634A82" w:rsidP="00634A82">
      <w:pPr>
        <w:pStyle w:val="Bulit"/>
      </w:pPr>
      <w:r>
        <w:t>Excellent interpersonal and intercultural communication skills, with a strong ability to build trust and navigate institutional hierarchies.</w:t>
      </w:r>
    </w:p>
    <w:p w14:paraId="6BA182CC" w14:textId="77777777" w:rsidR="00634A82" w:rsidRDefault="00634A82" w:rsidP="00634A82">
      <w:pPr>
        <w:pStyle w:val="Bulit"/>
      </w:pPr>
      <w:r>
        <w:t>Fluent in preparing briefing notes, stakeholder reports, and presentation materials tailored for public sector decision-making.</w:t>
      </w:r>
    </w:p>
    <w:p w14:paraId="2E23C1F9" w14:textId="77777777" w:rsidR="00634A82" w:rsidRDefault="00634A82" w:rsidP="00634A82">
      <w:pPr>
        <w:pStyle w:val="Bulit"/>
      </w:pPr>
      <w:r>
        <w:t>Sensitivity to sociopolitical contexts, particularly around digital adoption, privacy concerns, and public trust in technology and government</w:t>
      </w:r>
    </w:p>
    <w:p w14:paraId="2CD53CA8" w14:textId="77777777" w:rsidR="00634A82" w:rsidRDefault="00634A82" w:rsidP="00634A82">
      <w:pPr>
        <w:pStyle w:val="Bulit"/>
      </w:pPr>
      <w:r>
        <w:lastRenderedPageBreak/>
        <w:t>Experience with inclusive engagement approaches, particularly for underserved or marginalized populations, is a plus.</w:t>
      </w:r>
    </w:p>
    <w:p w14:paraId="0B84D2A6" w14:textId="77777777" w:rsidR="00634A82" w:rsidRDefault="00634A82" w:rsidP="00634A82">
      <w:pPr>
        <w:pStyle w:val="Bulit"/>
      </w:pPr>
      <w:r>
        <w:t>More than 10 years in stakeholder engagement, with at least 2 large-scale public sector digital initiatives.</w:t>
      </w:r>
    </w:p>
    <w:p w14:paraId="0191E713" w14:textId="77777777" w:rsidR="00634A82" w:rsidRDefault="00634A82" w:rsidP="00634A82">
      <w:pPr>
        <w:pStyle w:val="Heading2"/>
        <w:rPr>
          <w:rFonts w:eastAsia="Calibri"/>
        </w:rPr>
      </w:pPr>
      <w:r>
        <w:rPr>
          <w:rFonts w:eastAsia="Calibri"/>
        </w:rPr>
        <w:t>Non-Key 4: Budget and Planning Expert</w:t>
      </w:r>
    </w:p>
    <w:p w14:paraId="555A834A" w14:textId="77777777" w:rsidR="00634A82" w:rsidRDefault="00634A82" w:rsidP="00634A82">
      <w:pPr>
        <w:pStyle w:val="Bulit"/>
      </w:pPr>
      <w:r>
        <w:t>Bachelor’s or Master’s degree in Economics, Finance, Public Administration, Business Management, or Project Management or a related field.</w:t>
      </w:r>
    </w:p>
    <w:p w14:paraId="0C6BA15A" w14:textId="77777777" w:rsidR="00634A82" w:rsidRDefault="00634A82" w:rsidP="00634A82">
      <w:pPr>
        <w:pStyle w:val="Bulit"/>
      </w:pPr>
      <w:r>
        <w:t>Proven expertise in developing detailed budget estimates, including capital and operational expenditure, human resource planning, infrastructure costs, and contingency budgeting.</w:t>
      </w:r>
    </w:p>
    <w:p w14:paraId="1819B51E" w14:textId="77777777" w:rsidR="00634A82" w:rsidRDefault="00634A82" w:rsidP="00634A82">
      <w:pPr>
        <w:pStyle w:val="Bulit"/>
      </w:pPr>
      <w:r>
        <w:t>Skilled in creating multi-phase financial forecasts, including MVP vs. full-scale rollout comparisons and cost optimization scenarios.</w:t>
      </w:r>
    </w:p>
    <w:p w14:paraId="2D45F4F3" w14:textId="77777777" w:rsidR="00634A82" w:rsidRDefault="00634A82" w:rsidP="00634A82">
      <w:pPr>
        <w:pStyle w:val="Bulit"/>
      </w:pPr>
      <w:r>
        <w:t>Experience developing cost-benefit analyses, return on investment (ROI) models, and financial sustainability strategies for digital initiatives.</w:t>
      </w:r>
    </w:p>
    <w:p w14:paraId="6FD2D8D4" w14:textId="77777777" w:rsidR="00634A82" w:rsidRDefault="00634A82" w:rsidP="00634A82">
      <w:pPr>
        <w:pStyle w:val="Bulit"/>
      </w:pPr>
      <w:r>
        <w:t>Strong understanding of project and resource planning in complex, multi-stakeholder environments, particularly in the public sector or development-funded programs.</w:t>
      </w:r>
    </w:p>
    <w:p w14:paraId="06D532F5" w14:textId="77777777" w:rsidR="00634A82" w:rsidRDefault="00634A82" w:rsidP="00634A82">
      <w:pPr>
        <w:pStyle w:val="Bulit"/>
      </w:pPr>
      <w:r>
        <w:t>Able to translate technical and policy recommendations into costed implementation plans with clear timelines, dependencies, and risk buffers.</w:t>
      </w:r>
    </w:p>
    <w:p w14:paraId="3C1090E2" w14:textId="77777777" w:rsidR="00634A82" w:rsidRDefault="00634A82" w:rsidP="00634A82">
      <w:pPr>
        <w:pStyle w:val="Bulit"/>
      </w:pPr>
      <w:r>
        <w:t>Familiarity with public budgeting cycles, procurement processes, and funding structures in government or multilateral donor contexts.</w:t>
      </w:r>
    </w:p>
    <w:p w14:paraId="62930A90" w14:textId="77777777" w:rsidR="00634A82" w:rsidRDefault="00634A82" w:rsidP="00634A82">
      <w:pPr>
        <w:pStyle w:val="Bulit"/>
      </w:pPr>
      <w:r>
        <w:t>Experience supporting cost frameworks for World Bank, EU, UNDP, or similar international development programs is highly desirable.</w:t>
      </w:r>
    </w:p>
    <w:p w14:paraId="3E0915B2" w14:textId="77777777" w:rsidR="00634A82" w:rsidRDefault="00634A82" w:rsidP="00634A82">
      <w:pPr>
        <w:pStyle w:val="Bulit"/>
      </w:pPr>
      <w:r>
        <w:t>Comfortable collaborating with technical, legal, and product teams to validate estimates and identify planning dependencies.</w:t>
      </w:r>
    </w:p>
    <w:p w14:paraId="7D923044" w14:textId="77777777" w:rsidR="00634A82" w:rsidRDefault="00634A82" w:rsidP="00634A82">
      <w:pPr>
        <w:pStyle w:val="Bulit"/>
      </w:pPr>
      <w:r>
        <w:t>Knowledge of governance frameworks related to budget control, financial accountability, and transparency in government digital projects.</w:t>
      </w:r>
    </w:p>
    <w:p w14:paraId="6C52A267" w14:textId="77777777" w:rsidR="00634A82" w:rsidRDefault="00634A82" w:rsidP="00634A82">
      <w:pPr>
        <w:pStyle w:val="Bulit"/>
      </w:pPr>
      <w:r>
        <w:t>Capable of flagging financial risks early and proposing mitigation measures that align with procurement and regulatory standards.</w:t>
      </w:r>
    </w:p>
    <w:p w14:paraId="392D3371" w14:textId="77777777" w:rsidR="00634A82" w:rsidRPr="00EF096B" w:rsidRDefault="00634A82" w:rsidP="00634A82">
      <w:pPr>
        <w:pStyle w:val="Bulit"/>
      </w:pPr>
      <w:r>
        <w:t>More than 8 years in financial or implementation planning, including work with government or donor-funded programs.</w:t>
      </w:r>
    </w:p>
    <w:p w14:paraId="3DE027C6" w14:textId="19F93819" w:rsidR="002B3A7A" w:rsidRPr="009D3FE8" w:rsidRDefault="002B3A7A" w:rsidP="005A20F5">
      <w:pPr>
        <w:pStyle w:val="Heading1"/>
      </w:pPr>
      <w:r w:rsidRPr="009D3FE8">
        <w:t>Evaluation</w:t>
      </w:r>
    </w:p>
    <w:p w14:paraId="5B629BDD" w14:textId="77777777" w:rsidR="002B3A7A" w:rsidRPr="00D723BD" w:rsidRDefault="002B3A7A" w:rsidP="009D3FE8">
      <w:r w:rsidRPr="00E165C5">
        <w:rPr>
          <w:rFonts w:ascii="Times New Roman" w:hAnsi="Times New Roman"/>
        </w:rPr>
        <w:t>The Consultant</w:t>
      </w:r>
      <w:r>
        <w:rPr>
          <w:rFonts w:ascii="Times New Roman" w:hAnsi="Times New Roman"/>
        </w:rPr>
        <w:t xml:space="preserve"> </w:t>
      </w:r>
      <w:r w:rsidRPr="00E165C5">
        <w:rPr>
          <w:rFonts w:ascii="Times New Roman" w:hAnsi="Times New Roman"/>
        </w:rPr>
        <w:t>which obtains the highest score during evaluation of expressions of interest will be invited to submit technical and financial proposals.</w:t>
      </w:r>
      <w:r>
        <w:rPr>
          <w:rFonts w:ascii="Times New Roman" w:hAnsi="Times New Roman"/>
        </w:rPr>
        <w:t xml:space="preserve"> </w:t>
      </w:r>
    </w:p>
    <w:p w14:paraId="4737708E" w14:textId="4AC9FF6A" w:rsidR="00F90A16" w:rsidRPr="00D03F03" w:rsidRDefault="00F90A16" w:rsidP="007A4DC9">
      <w:pPr>
        <w:rPr>
          <w:rFonts w:ascii="Times New Roman" w:hAnsi="Times New Roman" w:cs="Times New Roman"/>
        </w:rPr>
      </w:pPr>
    </w:p>
    <w:sectPr w:rsidR="00F90A16" w:rsidRPr="00D03F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52F4" w14:textId="77777777" w:rsidR="0009430F" w:rsidRDefault="0009430F" w:rsidP="00410954">
      <w:pPr>
        <w:spacing w:after="0" w:line="240" w:lineRule="auto"/>
      </w:pPr>
      <w:r>
        <w:separator/>
      </w:r>
    </w:p>
  </w:endnote>
  <w:endnote w:type="continuationSeparator" w:id="0">
    <w:p w14:paraId="1A767E7B" w14:textId="77777777" w:rsidR="0009430F" w:rsidRDefault="0009430F" w:rsidP="0041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797088"/>
      <w:docPartObj>
        <w:docPartGallery w:val="Page Numbers (Bottom of Page)"/>
        <w:docPartUnique/>
      </w:docPartObj>
    </w:sdtPr>
    <w:sdtEndPr>
      <w:rPr>
        <w:rFonts w:ascii="Times New Roman" w:hAnsi="Times New Roman" w:cs="Times New Roman"/>
      </w:rPr>
    </w:sdtEndPr>
    <w:sdtContent>
      <w:p w14:paraId="280B6460" w14:textId="5D25D1A2" w:rsidR="000B7498" w:rsidRPr="000B7498" w:rsidRDefault="000B7498">
        <w:pPr>
          <w:pStyle w:val="Footer"/>
          <w:jc w:val="right"/>
          <w:rPr>
            <w:rFonts w:ascii="Times New Roman" w:hAnsi="Times New Roman" w:cs="Times New Roman"/>
          </w:rPr>
        </w:pPr>
        <w:r w:rsidRPr="000B7498">
          <w:rPr>
            <w:rFonts w:ascii="Times New Roman" w:hAnsi="Times New Roman" w:cs="Times New Roman"/>
          </w:rPr>
          <w:fldChar w:fldCharType="begin"/>
        </w:r>
        <w:r w:rsidRPr="000B7498">
          <w:rPr>
            <w:rFonts w:ascii="Times New Roman" w:hAnsi="Times New Roman" w:cs="Times New Roman"/>
          </w:rPr>
          <w:instrText>PAGE   \* MERGEFORMAT</w:instrText>
        </w:r>
        <w:r w:rsidRPr="000B7498">
          <w:rPr>
            <w:rFonts w:ascii="Times New Roman" w:hAnsi="Times New Roman" w:cs="Times New Roman"/>
          </w:rPr>
          <w:fldChar w:fldCharType="separate"/>
        </w:r>
        <w:r w:rsidR="006D2147" w:rsidRPr="006D2147">
          <w:rPr>
            <w:rFonts w:ascii="Times New Roman" w:hAnsi="Times New Roman" w:cs="Times New Roman"/>
            <w:noProof/>
            <w:lang w:val="sr-Latn-RS"/>
          </w:rPr>
          <w:t>1</w:t>
        </w:r>
        <w:r w:rsidRPr="000B7498">
          <w:rPr>
            <w:rFonts w:ascii="Times New Roman" w:hAnsi="Times New Roman" w:cs="Times New Roman"/>
          </w:rPr>
          <w:fldChar w:fldCharType="end"/>
        </w:r>
      </w:p>
    </w:sdtContent>
  </w:sdt>
  <w:p w14:paraId="02BC8782" w14:textId="77777777" w:rsidR="000B7498" w:rsidRDefault="000B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C53E" w14:textId="77777777" w:rsidR="0009430F" w:rsidRDefault="0009430F" w:rsidP="00410954">
      <w:pPr>
        <w:spacing w:after="0" w:line="240" w:lineRule="auto"/>
      </w:pPr>
      <w:r>
        <w:separator/>
      </w:r>
    </w:p>
  </w:footnote>
  <w:footnote w:type="continuationSeparator" w:id="0">
    <w:p w14:paraId="218E16BF" w14:textId="77777777" w:rsidR="0009430F" w:rsidRDefault="0009430F" w:rsidP="00410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4D3"/>
    <w:multiLevelType w:val="multilevel"/>
    <w:tmpl w:val="E45A05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9D329F"/>
    <w:multiLevelType w:val="multilevel"/>
    <w:tmpl w:val="96D02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313724"/>
    <w:multiLevelType w:val="hybridMultilevel"/>
    <w:tmpl w:val="E97490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FCA2E59"/>
    <w:multiLevelType w:val="multilevel"/>
    <w:tmpl w:val="93DE11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11647A"/>
    <w:multiLevelType w:val="hybridMultilevel"/>
    <w:tmpl w:val="7E4220D0"/>
    <w:lvl w:ilvl="0" w:tplc="0E10C412">
      <w:start w:val="1"/>
      <w:numFmt w:val="lowerLetter"/>
      <w:pStyle w:val="Heading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A0B76"/>
    <w:multiLevelType w:val="multilevel"/>
    <w:tmpl w:val="CC70705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b/>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C776C4E"/>
    <w:multiLevelType w:val="multilevel"/>
    <w:tmpl w:val="72B4BE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D830098"/>
    <w:multiLevelType w:val="multilevel"/>
    <w:tmpl w:val="0C6831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15463D7"/>
    <w:multiLevelType w:val="multilevel"/>
    <w:tmpl w:val="1924CD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4F65556"/>
    <w:multiLevelType w:val="multilevel"/>
    <w:tmpl w:val="F5C07EF4"/>
    <w:lvl w:ilvl="0">
      <w:start w:val="1"/>
      <w:numFmt w:val="bullet"/>
      <w:lvlText w:val="•"/>
      <w:lvlJc w:val="left"/>
      <w:pPr>
        <w:ind w:left="9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5EB15AB"/>
    <w:multiLevelType w:val="hybridMultilevel"/>
    <w:tmpl w:val="EF46DEB4"/>
    <w:lvl w:ilvl="0" w:tplc="EC76FB2C">
      <w:start w:val="1"/>
      <w:numFmt w:val="bullet"/>
      <w:pStyle w:val="Bulit-1"/>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713AC5"/>
    <w:multiLevelType w:val="hybridMultilevel"/>
    <w:tmpl w:val="993E4C50"/>
    <w:lvl w:ilvl="0" w:tplc="0F64DB3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E2C00"/>
    <w:multiLevelType w:val="multilevel"/>
    <w:tmpl w:val="8D1C0C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8B26426"/>
    <w:multiLevelType w:val="hybridMultilevel"/>
    <w:tmpl w:val="33F6CED4"/>
    <w:lvl w:ilvl="0" w:tplc="30A0CDC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7598C"/>
    <w:multiLevelType w:val="multilevel"/>
    <w:tmpl w:val="1DB4F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AFB2015"/>
    <w:multiLevelType w:val="multilevel"/>
    <w:tmpl w:val="EBFE0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C7115C5"/>
    <w:multiLevelType w:val="multilevel"/>
    <w:tmpl w:val="9BD4B6B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Calibri" w:eastAsia="Calibri" w:hAnsi="Calibri" w:cs="Calibri"/>
        <w:b/>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D183097"/>
    <w:multiLevelType w:val="multilevel"/>
    <w:tmpl w:val="93D83B84"/>
    <w:lvl w:ilvl="0">
      <w:start w:val="1"/>
      <w:numFmt w:val="bullet"/>
      <w:lvlText w:val="•"/>
      <w:lvlJc w:val="left"/>
      <w:pPr>
        <w:ind w:left="9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F340BF0"/>
    <w:multiLevelType w:val="hybridMultilevel"/>
    <w:tmpl w:val="07D6E2A8"/>
    <w:lvl w:ilvl="0" w:tplc="CC349D12">
      <w:start w:val="1"/>
      <w:numFmt w:val="bullet"/>
      <w:pStyle w:val="Buli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9334A8"/>
    <w:multiLevelType w:val="multilevel"/>
    <w:tmpl w:val="C1D6CDDA"/>
    <w:lvl w:ilvl="0">
      <w:start w:val="1"/>
      <w:numFmt w:val="bullet"/>
      <w:lvlText w:val="•"/>
      <w:lvlJc w:val="left"/>
      <w:pPr>
        <w:ind w:left="9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0B006D6"/>
    <w:multiLevelType w:val="multilevel"/>
    <w:tmpl w:val="D02E24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5D60462"/>
    <w:multiLevelType w:val="multilevel"/>
    <w:tmpl w:val="87265E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8473C7D"/>
    <w:multiLevelType w:val="hybridMultilevel"/>
    <w:tmpl w:val="CD003098"/>
    <w:lvl w:ilvl="0" w:tplc="A46C32F2">
      <w:start w:val="1"/>
      <w:numFmt w:val="bullet"/>
      <w:lvlText w:val=""/>
      <w:lvlJc w:val="left"/>
      <w:pPr>
        <w:ind w:left="720" w:hanging="360"/>
      </w:pPr>
      <w:rPr>
        <w:rFonts w:ascii="Symbol" w:hAnsi="Symbol" w:hint="default"/>
        <w:sz w:val="18"/>
        <w:szCs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01D55BA"/>
    <w:multiLevelType w:val="hybridMultilevel"/>
    <w:tmpl w:val="FFFFFFFF"/>
    <w:styleLink w:val="ImportedStyle3"/>
    <w:lvl w:ilvl="0" w:tplc="2FB0DB2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6C7CD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4A2E0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40C030">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8AA1C6">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56EBF0">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0A420C">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A641A6">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E68BA0">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3A13F57"/>
    <w:multiLevelType w:val="multilevel"/>
    <w:tmpl w:val="7ADCB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3C70CE"/>
    <w:multiLevelType w:val="multilevel"/>
    <w:tmpl w:val="BF8AA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22"/>
  </w:num>
  <w:num w:numId="3">
    <w:abstractNumId w:val="23"/>
  </w:num>
  <w:num w:numId="4">
    <w:abstractNumId w:val="4"/>
  </w:num>
  <w:num w:numId="5">
    <w:abstractNumId w:val="11"/>
  </w:num>
  <w:num w:numId="6">
    <w:abstractNumId w:val="18"/>
  </w:num>
  <w:num w:numId="7">
    <w:abstractNumId w:val="10"/>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3"/>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3"/>
  </w:num>
  <w:num w:numId="18">
    <w:abstractNumId w:val="18"/>
  </w:num>
  <w:num w:numId="19">
    <w:abstractNumId w:val="18"/>
  </w:num>
  <w:num w:numId="20">
    <w:abstractNumId w:val="1"/>
  </w:num>
  <w:num w:numId="21">
    <w:abstractNumId w:val="17"/>
  </w:num>
  <w:num w:numId="22">
    <w:abstractNumId w:val="9"/>
  </w:num>
  <w:num w:numId="23">
    <w:abstractNumId w:val="19"/>
  </w:num>
  <w:num w:numId="24">
    <w:abstractNumId w:val="14"/>
  </w:num>
  <w:num w:numId="25">
    <w:abstractNumId w:val="5"/>
  </w:num>
  <w:num w:numId="26">
    <w:abstractNumId w:val="16"/>
  </w:num>
  <w:num w:numId="27">
    <w:abstractNumId w:val="20"/>
  </w:num>
  <w:num w:numId="28">
    <w:abstractNumId w:val="0"/>
  </w:num>
  <w:num w:numId="29">
    <w:abstractNumId w:val="13"/>
    <w:lvlOverride w:ilvl="0">
      <w:startOverride w:val="1"/>
    </w:lvlOverride>
  </w:num>
  <w:num w:numId="30">
    <w:abstractNumId w:val="13"/>
    <w:lvlOverride w:ilvl="0">
      <w:startOverride w:val="1"/>
    </w:lvlOverride>
  </w:num>
  <w:num w:numId="31">
    <w:abstractNumId w:val="11"/>
    <w:lvlOverride w:ilvl="0">
      <w:startOverride w:val="1"/>
    </w:lvlOverride>
  </w:num>
  <w:num w:numId="32">
    <w:abstractNumId w:val="6"/>
  </w:num>
  <w:num w:numId="33">
    <w:abstractNumId w:val="25"/>
  </w:num>
  <w:num w:numId="34">
    <w:abstractNumId w:val="7"/>
  </w:num>
  <w:num w:numId="35">
    <w:abstractNumId w:val="8"/>
  </w:num>
  <w:num w:numId="36">
    <w:abstractNumId w:val="12"/>
  </w:num>
  <w:num w:numId="37">
    <w:abstractNumId w:val="21"/>
  </w:num>
  <w:num w:numId="38">
    <w:abstractNumId w:val="15"/>
  </w:num>
  <w:num w:numId="39">
    <w:abstractNumId w:val="24"/>
  </w:num>
  <w:num w:numId="40">
    <w:abstractNumId w:val="13"/>
    <w:lvlOverride w:ilvl="0">
      <w:startOverride w:val="1"/>
    </w:lvlOverride>
  </w:num>
  <w:num w:numId="41">
    <w:abstractNumId w:val="18"/>
  </w:num>
  <w:num w:numId="42">
    <w:abstractNumId w:val="13"/>
    <w:lvlOverride w:ilvl="0">
      <w:startOverride w:val="1"/>
    </w:lvlOverride>
  </w:num>
  <w:num w:numId="43">
    <w:abstractNumId w:val="13"/>
    <w:lvlOverride w:ilvl="0">
      <w:startOverride w:val="1"/>
    </w:lvlOverride>
  </w:num>
  <w:num w:numId="44">
    <w:abstractNumId w:val="13"/>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54"/>
    <w:rsid w:val="00007D65"/>
    <w:rsid w:val="00054DAE"/>
    <w:rsid w:val="00064D75"/>
    <w:rsid w:val="00065A80"/>
    <w:rsid w:val="0009430F"/>
    <w:rsid w:val="00097C6A"/>
    <w:rsid w:val="000B7498"/>
    <w:rsid w:val="000D5AE4"/>
    <w:rsid w:val="000D7374"/>
    <w:rsid w:val="000F3FF9"/>
    <w:rsid w:val="001637D2"/>
    <w:rsid w:val="0016380B"/>
    <w:rsid w:val="00176610"/>
    <w:rsid w:val="001C48CF"/>
    <w:rsid w:val="001F3C3D"/>
    <w:rsid w:val="00211CAA"/>
    <w:rsid w:val="00220EAD"/>
    <w:rsid w:val="00270352"/>
    <w:rsid w:val="00274611"/>
    <w:rsid w:val="002A2385"/>
    <w:rsid w:val="002B3A7A"/>
    <w:rsid w:val="00303259"/>
    <w:rsid w:val="003D7231"/>
    <w:rsid w:val="003E601C"/>
    <w:rsid w:val="003F6BE2"/>
    <w:rsid w:val="00410954"/>
    <w:rsid w:val="00426213"/>
    <w:rsid w:val="004432DA"/>
    <w:rsid w:val="00472173"/>
    <w:rsid w:val="004C3198"/>
    <w:rsid w:val="004E2B9D"/>
    <w:rsid w:val="005120EC"/>
    <w:rsid w:val="00531620"/>
    <w:rsid w:val="00597A04"/>
    <w:rsid w:val="005A20F5"/>
    <w:rsid w:val="00627E24"/>
    <w:rsid w:val="00634A82"/>
    <w:rsid w:val="006716FF"/>
    <w:rsid w:val="006B2159"/>
    <w:rsid w:val="006C17E0"/>
    <w:rsid w:val="006D2147"/>
    <w:rsid w:val="00706C65"/>
    <w:rsid w:val="007401CE"/>
    <w:rsid w:val="00765AC4"/>
    <w:rsid w:val="00786407"/>
    <w:rsid w:val="007A4DC9"/>
    <w:rsid w:val="007D3F9A"/>
    <w:rsid w:val="007F7F8D"/>
    <w:rsid w:val="00807E91"/>
    <w:rsid w:val="00811754"/>
    <w:rsid w:val="0081627C"/>
    <w:rsid w:val="00837A12"/>
    <w:rsid w:val="00850FCE"/>
    <w:rsid w:val="00914475"/>
    <w:rsid w:val="009A256B"/>
    <w:rsid w:val="009C5C5A"/>
    <w:rsid w:val="009D3FE8"/>
    <w:rsid w:val="009F7716"/>
    <w:rsid w:val="00A26B45"/>
    <w:rsid w:val="00A65CCE"/>
    <w:rsid w:val="00AA0318"/>
    <w:rsid w:val="00B06B25"/>
    <w:rsid w:val="00B10DD9"/>
    <w:rsid w:val="00B266B5"/>
    <w:rsid w:val="00B7439A"/>
    <w:rsid w:val="00BE4EDD"/>
    <w:rsid w:val="00BF43DF"/>
    <w:rsid w:val="00BF43E6"/>
    <w:rsid w:val="00C22242"/>
    <w:rsid w:val="00C47583"/>
    <w:rsid w:val="00C6061C"/>
    <w:rsid w:val="00C97E74"/>
    <w:rsid w:val="00CA1380"/>
    <w:rsid w:val="00CD5FDF"/>
    <w:rsid w:val="00D03F03"/>
    <w:rsid w:val="00D12145"/>
    <w:rsid w:val="00D15FF8"/>
    <w:rsid w:val="00D2419E"/>
    <w:rsid w:val="00D26B03"/>
    <w:rsid w:val="00D57ECD"/>
    <w:rsid w:val="00D71934"/>
    <w:rsid w:val="00DA6D35"/>
    <w:rsid w:val="00DB4224"/>
    <w:rsid w:val="00DB6DCC"/>
    <w:rsid w:val="00DF3ABC"/>
    <w:rsid w:val="00E27D83"/>
    <w:rsid w:val="00E935A0"/>
    <w:rsid w:val="00EA444A"/>
    <w:rsid w:val="00EC08C7"/>
    <w:rsid w:val="00EF096B"/>
    <w:rsid w:val="00F136E4"/>
    <w:rsid w:val="00F158CA"/>
    <w:rsid w:val="00F20B1F"/>
    <w:rsid w:val="00F2302D"/>
    <w:rsid w:val="00F2602E"/>
    <w:rsid w:val="00F26871"/>
    <w:rsid w:val="00F7586C"/>
    <w:rsid w:val="00F76778"/>
    <w:rsid w:val="00F82F6E"/>
    <w:rsid w:val="00F90A16"/>
    <w:rsid w:val="00FB2A43"/>
    <w:rsid w:val="00FF489F"/>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9622"/>
  <w15:chartTrackingRefBased/>
  <w15:docId w15:val="{712D1901-7833-4261-8B88-1B01B774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C9"/>
  </w:style>
  <w:style w:type="paragraph" w:styleId="Heading1">
    <w:name w:val="heading 1"/>
    <w:basedOn w:val="Normal"/>
    <w:next w:val="Normal"/>
    <w:link w:val="Heading1Char"/>
    <w:autoRedefine/>
    <w:uiPriority w:val="9"/>
    <w:qFormat/>
    <w:rsid w:val="005120EC"/>
    <w:pPr>
      <w:keepNext/>
      <w:keepLines/>
      <w:numPr>
        <w:numId w:val="4"/>
      </w:numPr>
      <w:spacing w:before="360" w:after="80"/>
      <w:ind w:left="714" w:hanging="357"/>
      <w:jc w:val="both"/>
      <w:outlineLvl w:val="0"/>
    </w:pPr>
    <w:rPr>
      <w:rFonts w:ascii="Times New Roman" w:eastAsia="Times New Roman" w:hAnsi="Times New Roman" w:cstheme="majorBidi"/>
      <w:b/>
      <w:bCs/>
      <w:szCs w:val="40"/>
    </w:rPr>
  </w:style>
  <w:style w:type="paragraph" w:styleId="Heading2">
    <w:name w:val="heading 2"/>
    <w:basedOn w:val="Normal"/>
    <w:next w:val="Normal"/>
    <w:link w:val="Heading2Char"/>
    <w:autoRedefine/>
    <w:uiPriority w:val="9"/>
    <w:unhideWhenUsed/>
    <w:qFormat/>
    <w:rsid w:val="00EF096B"/>
    <w:pPr>
      <w:keepLines/>
      <w:numPr>
        <w:numId w:val="5"/>
      </w:numPr>
      <w:spacing w:before="240" w:after="80"/>
      <w:jc w:val="both"/>
      <w:outlineLvl w:val="1"/>
    </w:pPr>
    <w:rPr>
      <w:rFonts w:ascii="Times New Roman" w:eastAsiaTheme="majorEastAsia" w:hAnsi="Times New Roman" w:cstheme="majorBidi"/>
      <w:b/>
      <w:szCs w:val="32"/>
    </w:rPr>
  </w:style>
  <w:style w:type="paragraph" w:styleId="Heading3">
    <w:name w:val="heading 3"/>
    <w:basedOn w:val="Normal"/>
    <w:next w:val="Normal"/>
    <w:link w:val="Heading3Char"/>
    <w:autoRedefine/>
    <w:uiPriority w:val="9"/>
    <w:unhideWhenUsed/>
    <w:qFormat/>
    <w:rsid w:val="00EF096B"/>
    <w:pPr>
      <w:keepNext/>
      <w:keepLines/>
      <w:numPr>
        <w:numId w:val="11"/>
      </w:numPr>
      <w:spacing w:before="160" w:after="80"/>
      <w:jc w:val="both"/>
      <w:outlineLvl w:val="2"/>
    </w:pPr>
    <w:rPr>
      <w:rFonts w:ascii="Times New Roman" w:eastAsia="Times New Roman" w:hAnsi="Times New Roman" w:cstheme="majorBidi"/>
      <w:b/>
      <w:szCs w:val="28"/>
      <w:lang w:val="en"/>
    </w:rPr>
  </w:style>
  <w:style w:type="paragraph" w:styleId="Heading4">
    <w:name w:val="heading 4"/>
    <w:basedOn w:val="Normal"/>
    <w:next w:val="Normal"/>
    <w:link w:val="Heading4Char"/>
    <w:uiPriority w:val="9"/>
    <w:semiHidden/>
    <w:unhideWhenUsed/>
    <w:qFormat/>
    <w:rsid w:val="00410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EC"/>
    <w:rPr>
      <w:rFonts w:ascii="Times New Roman" w:eastAsia="Times New Roman" w:hAnsi="Times New Roman" w:cstheme="majorBidi"/>
      <w:b/>
      <w:bCs/>
      <w:szCs w:val="40"/>
    </w:rPr>
  </w:style>
  <w:style w:type="character" w:customStyle="1" w:styleId="Heading2Char">
    <w:name w:val="Heading 2 Char"/>
    <w:basedOn w:val="DefaultParagraphFont"/>
    <w:link w:val="Heading2"/>
    <w:uiPriority w:val="9"/>
    <w:rsid w:val="00EF096B"/>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EF096B"/>
    <w:rPr>
      <w:rFonts w:ascii="Times New Roman" w:eastAsia="Times New Roman" w:hAnsi="Times New Roman" w:cstheme="majorBidi"/>
      <w:b/>
      <w:szCs w:val="28"/>
      <w:lang w:val="en"/>
    </w:rPr>
  </w:style>
  <w:style w:type="character" w:customStyle="1" w:styleId="Heading4Char">
    <w:name w:val="Heading 4 Char"/>
    <w:basedOn w:val="DefaultParagraphFont"/>
    <w:link w:val="Heading4"/>
    <w:uiPriority w:val="9"/>
    <w:semiHidden/>
    <w:rsid w:val="00410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954"/>
    <w:rPr>
      <w:rFonts w:eastAsiaTheme="majorEastAsia" w:cstheme="majorBidi"/>
      <w:color w:val="272727" w:themeColor="text1" w:themeTint="D8"/>
    </w:rPr>
  </w:style>
  <w:style w:type="paragraph" w:styleId="Title">
    <w:name w:val="Title"/>
    <w:basedOn w:val="Normal"/>
    <w:next w:val="Normal"/>
    <w:link w:val="TitleChar"/>
    <w:uiPriority w:val="10"/>
    <w:qFormat/>
    <w:rsid w:val="00410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954"/>
    <w:pPr>
      <w:spacing w:before="160"/>
      <w:jc w:val="center"/>
    </w:pPr>
    <w:rPr>
      <w:i/>
      <w:iCs/>
      <w:color w:val="404040" w:themeColor="text1" w:themeTint="BF"/>
    </w:rPr>
  </w:style>
  <w:style w:type="character" w:customStyle="1" w:styleId="QuoteChar">
    <w:name w:val="Quote Char"/>
    <w:basedOn w:val="DefaultParagraphFont"/>
    <w:link w:val="Quote"/>
    <w:uiPriority w:val="29"/>
    <w:rsid w:val="00410954"/>
    <w:rPr>
      <w:i/>
      <w:iCs/>
      <w:color w:val="404040" w:themeColor="text1" w:themeTint="BF"/>
    </w:rPr>
  </w:style>
  <w:style w:type="paragraph" w:styleId="ListParagraph">
    <w:name w:val="List Paragraph"/>
    <w:basedOn w:val="Normal"/>
    <w:uiPriority w:val="34"/>
    <w:qFormat/>
    <w:rsid w:val="00410954"/>
    <w:pPr>
      <w:ind w:left="720"/>
      <w:contextualSpacing/>
    </w:pPr>
  </w:style>
  <w:style w:type="character" w:styleId="IntenseEmphasis">
    <w:name w:val="Intense Emphasis"/>
    <w:basedOn w:val="DefaultParagraphFont"/>
    <w:uiPriority w:val="21"/>
    <w:qFormat/>
    <w:rsid w:val="00410954"/>
    <w:rPr>
      <w:i/>
      <w:iCs/>
      <w:color w:val="0F4761" w:themeColor="accent1" w:themeShade="BF"/>
    </w:rPr>
  </w:style>
  <w:style w:type="paragraph" w:styleId="IntenseQuote">
    <w:name w:val="Intense Quote"/>
    <w:basedOn w:val="Normal"/>
    <w:next w:val="Normal"/>
    <w:link w:val="IntenseQuoteChar"/>
    <w:uiPriority w:val="30"/>
    <w:qFormat/>
    <w:rsid w:val="00410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954"/>
    <w:rPr>
      <w:i/>
      <w:iCs/>
      <w:color w:val="0F4761" w:themeColor="accent1" w:themeShade="BF"/>
    </w:rPr>
  </w:style>
  <w:style w:type="character" w:styleId="IntenseReference">
    <w:name w:val="Intense Reference"/>
    <w:basedOn w:val="DefaultParagraphFont"/>
    <w:uiPriority w:val="32"/>
    <w:qFormat/>
    <w:rsid w:val="00410954"/>
    <w:rPr>
      <w:b/>
      <w:bCs/>
      <w:smallCaps/>
      <w:color w:val="0F4761" w:themeColor="accent1" w:themeShade="BF"/>
      <w:spacing w:val="5"/>
    </w:rPr>
  </w:style>
  <w:style w:type="paragraph" w:styleId="FootnoteText">
    <w:name w:val="footnote text"/>
    <w:basedOn w:val="Normal"/>
    <w:link w:val="FootnoteTextChar"/>
    <w:uiPriority w:val="99"/>
    <w:semiHidden/>
    <w:unhideWhenUsed/>
    <w:rsid w:val="004109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954"/>
    <w:rPr>
      <w:sz w:val="20"/>
      <w:szCs w:val="20"/>
    </w:rPr>
  </w:style>
  <w:style w:type="character" w:styleId="FootnoteReference">
    <w:name w:val="footnote reference"/>
    <w:basedOn w:val="DefaultParagraphFont"/>
    <w:uiPriority w:val="99"/>
    <w:semiHidden/>
    <w:unhideWhenUsed/>
    <w:rsid w:val="00410954"/>
    <w:rPr>
      <w:vertAlign w:val="superscript"/>
    </w:rPr>
  </w:style>
  <w:style w:type="paragraph" w:customStyle="1" w:styleId="Body">
    <w:name w:val="Body"/>
    <w:rsid w:val="002B3A7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e-DE"/>
      <w14:ligatures w14:val="none"/>
    </w:rPr>
  </w:style>
  <w:style w:type="paragraph" w:styleId="NoSpacing">
    <w:name w:val="No Spacing"/>
    <w:rsid w:val="002B3A7A"/>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14:ligatures w14:val="none"/>
    </w:rPr>
  </w:style>
  <w:style w:type="paragraph" w:styleId="Header">
    <w:name w:val="header"/>
    <w:basedOn w:val="Normal"/>
    <w:link w:val="HeaderChar"/>
    <w:uiPriority w:val="99"/>
    <w:unhideWhenUsed/>
    <w:rsid w:val="002B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A7A"/>
  </w:style>
  <w:style w:type="paragraph" w:styleId="Footer">
    <w:name w:val="footer"/>
    <w:basedOn w:val="Normal"/>
    <w:link w:val="FooterChar"/>
    <w:uiPriority w:val="99"/>
    <w:unhideWhenUsed/>
    <w:rsid w:val="002B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A7A"/>
  </w:style>
  <w:style w:type="table" w:styleId="TableGrid">
    <w:name w:val="Table Grid"/>
    <w:basedOn w:val="TableNormal"/>
    <w:uiPriority w:val="39"/>
    <w:rsid w:val="00F26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D65"/>
    <w:rPr>
      <w:sz w:val="16"/>
      <w:szCs w:val="16"/>
    </w:rPr>
  </w:style>
  <w:style w:type="paragraph" w:styleId="CommentText">
    <w:name w:val="annotation text"/>
    <w:basedOn w:val="Normal"/>
    <w:link w:val="CommentTextChar"/>
    <w:uiPriority w:val="99"/>
    <w:semiHidden/>
    <w:unhideWhenUsed/>
    <w:rsid w:val="00007D65"/>
    <w:pPr>
      <w:spacing w:line="240" w:lineRule="auto"/>
    </w:pPr>
    <w:rPr>
      <w:sz w:val="20"/>
      <w:szCs w:val="20"/>
    </w:rPr>
  </w:style>
  <w:style w:type="character" w:customStyle="1" w:styleId="CommentTextChar">
    <w:name w:val="Comment Text Char"/>
    <w:basedOn w:val="DefaultParagraphFont"/>
    <w:link w:val="CommentText"/>
    <w:uiPriority w:val="99"/>
    <w:semiHidden/>
    <w:rsid w:val="00007D65"/>
    <w:rPr>
      <w:sz w:val="20"/>
      <w:szCs w:val="20"/>
    </w:rPr>
  </w:style>
  <w:style w:type="paragraph" w:styleId="CommentSubject">
    <w:name w:val="annotation subject"/>
    <w:basedOn w:val="CommentText"/>
    <w:next w:val="CommentText"/>
    <w:link w:val="CommentSubjectChar"/>
    <w:uiPriority w:val="99"/>
    <w:semiHidden/>
    <w:unhideWhenUsed/>
    <w:rsid w:val="00007D65"/>
    <w:rPr>
      <w:b/>
      <w:bCs/>
    </w:rPr>
  </w:style>
  <w:style w:type="character" w:customStyle="1" w:styleId="CommentSubjectChar">
    <w:name w:val="Comment Subject Char"/>
    <w:basedOn w:val="CommentTextChar"/>
    <w:link w:val="CommentSubject"/>
    <w:uiPriority w:val="99"/>
    <w:semiHidden/>
    <w:rsid w:val="00007D65"/>
    <w:rPr>
      <w:b/>
      <w:bCs/>
      <w:sz w:val="20"/>
      <w:szCs w:val="20"/>
    </w:rPr>
  </w:style>
  <w:style w:type="paragraph" w:styleId="BalloonText">
    <w:name w:val="Balloon Text"/>
    <w:basedOn w:val="Normal"/>
    <w:link w:val="BalloonTextChar"/>
    <w:uiPriority w:val="99"/>
    <w:semiHidden/>
    <w:unhideWhenUsed/>
    <w:rsid w:val="00007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65"/>
    <w:rPr>
      <w:rFonts w:ascii="Segoe UI" w:hAnsi="Segoe UI" w:cs="Segoe UI"/>
      <w:sz w:val="18"/>
      <w:szCs w:val="18"/>
    </w:rPr>
  </w:style>
  <w:style w:type="numbering" w:customStyle="1" w:styleId="ImportedStyle3">
    <w:name w:val="Imported Style 3"/>
    <w:rsid w:val="002A2385"/>
    <w:pPr>
      <w:numPr>
        <w:numId w:val="3"/>
      </w:numPr>
    </w:pPr>
  </w:style>
  <w:style w:type="paragraph" w:customStyle="1" w:styleId="Bulit">
    <w:name w:val="Bulit"/>
    <w:basedOn w:val="Heading1"/>
    <w:autoRedefine/>
    <w:qFormat/>
    <w:rsid w:val="00EF096B"/>
    <w:pPr>
      <w:keepNext w:val="0"/>
      <w:numPr>
        <w:numId w:val="6"/>
      </w:numPr>
      <w:spacing w:before="120" w:after="120"/>
    </w:pPr>
    <w:rPr>
      <w:rFonts w:eastAsia="Calibri" w:cs="Calibri"/>
      <w:b w:val="0"/>
      <w:u w:color="000000"/>
      <w:bdr w:val="nil"/>
    </w:rPr>
  </w:style>
  <w:style w:type="paragraph" w:customStyle="1" w:styleId="Bulit-1">
    <w:name w:val="Bulit -1"/>
    <w:basedOn w:val="Bulit"/>
    <w:autoRedefine/>
    <w:qFormat/>
    <w:rsid w:val="00FF6B5E"/>
    <w:pPr>
      <w:numPr>
        <w:numId w:val="7"/>
      </w:numPr>
      <w:ind w:left="143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8910">
      <w:bodyDiv w:val="1"/>
      <w:marLeft w:val="0"/>
      <w:marRight w:val="0"/>
      <w:marTop w:val="0"/>
      <w:marBottom w:val="0"/>
      <w:divBdr>
        <w:top w:val="none" w:sz="0" w:space="0" w:color="auto"/>
        <w:left w:val="none" w:sz="0" w:space="0" w:color="auto"/>
        <w:bottom w:val="none" w:sz="0" w:space="0" w:color="auto"/>
        <w:right w:val="none" w:sz="0" w:space="0" w:color="auto"/>
      </w:divBdr>
    </w:div>
    <w:div w:id="1120996316">
      <w:bodyDiv w:val="1"/>
      <w:marLeft w:val="0"/>
      <w:marRight w:val="0"/>
      <w:marTop w:val="0"/>
      <w:marBottom w:val="0"/>
      <w:divBdr>
        <w:top w:val="none" w:sz="0" w:space="0" w:color="auto"/>
        <w:left w:val="none" w:sz="0" w:space="0" w:color="auto"/>
        <w:bottom w:val="none" w:sz="0" w:space="0" w:color="auto"/>
        <w:right w:val="none" w:sz="0" w:space="0" w:color="auto"/>
      </w:divBdr>
      <w:divsChild>
        <w:div w:id="757139338">
          <w:marLeft w:val="0"/>
          <w:marRight w:val="0"/>
          <w:marTop w:val="0"/>
          <w:marBottom w:val="0"/>
          <w:divBdr>
            <w:top w:val="none" w:sz="0" w:space="0" w:color="auto"/>
            <w:left w:val="none" w:sz="0" w:space="0" w:color="auto"/>
            <w:bottom w:val="none" w:sz="0" w:space="0" w:color="auto"/>
            <w:right w:val="none" w:sz="0" w:space="0" w:color="auto"/>
          </w:divBdr>
          <w:divsChild>
            <w:div w:id="584463340">
              <w:marLeft w:val="0"/>
              <w:marRight w:val="0"/>
              <w:marTop w:val="0"/>
              <w:marBottom w:val="0"/>
              <w:divBdr>
                <w:top w:val="none" w:sz="0" w:space="0" w:color="auto"/>
                <w:left w:val="none" w:sz="0" w:space="0" w:color="auto"/>
                <w:bottom w:val="none" w:sz="0" w:space="0" w:color="auto"/>
                <w:right w:val="none" w:sz="0" w:space="0" w:color="auto"/>
              </w:divBdr>
            </w:div>
            <w:div w:id="53431138">
              <w:marLeft w:val="0"/>
              <w:marRight w:val="0"/>
              <w:marTop w:val="0"/>
              <w:marBottom w:val="0"/>
              <w:divBdr>
                <w:top w:val="none" w:sz="0" w:space="0" w:color="auto"/>
                <w:left w:val="none" w:sz="0" w:space="0" w:color="auto"/>
                <w:bottom w:val="none" w:sz="0" w:space="0" w:color="auto"/>
                <w:right w:val="none" w:sz="0" w:space="0" w:color="auto"/>
              </w:divBdr>
              <w:divsChild>
                <w:div w:id="25953250">
                  <w:marLeft w:val="0"/>
                  <w:marRight w:val="0"/>
                  <w:marTop w:val="0"/>
                  <w:marBottom w:val="0"/>
                  <w:divBdr>
                    <w:top w:val="none" w:sz="0" w:space="0" w:color="auto"/>
                    <w:left w:val="none" w:sz="0" w:space="0" w:color="auto"/>
                    <w:bottom w:val="none" w:sz="0" w:space="0" w:color="auto"/>
                    <w:right w:val="none" w:sz="0" w:space="0" w:color="auto"/>
                  </w:divBdr>
                  <w:divsChild>
                    <w:div w:id="18729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5294">
      <w:bodyDiv w:val="1"/>
      <w:marLeft w:val="0"/>
      <w:marRight w:val="0"/>
      <w:marTop w:val="0"/>
      <w:marBottom w:val="0"/>
      <w:divBdr>
        <w:top w:val="none" w:sz="0" w:space="0" w:color="auto"/>
        <w:left w:val="none" w:sz="0" w:space="0" w:color="auto"/>
        <w:bottom w:val="none" w:sz="0" w:space="0" w:color="auto"/>
        <w:right w:val="none" w:sz="0" w:space="0" w:color="auto"/>
      </w:divBdr>
    </w:div>
    <w:div w:id="2096053884">
      <w:bodyDiv w:val="1"/>
      <w:marLeft w:val="0"/>
      <w:marRight w:val="0"/>
      <w:marTop w:val="0"/>
      <w:marBottom w:val="0"/>
      <w:divBdr>
        <w:top w:val="none" w:sz="0" w:space="0" w:color="auto"/>
        <w:left w:val="none" w:sz="0" w:space="0" w:color="auto"/>
        <w:bottom w:val="none" w:sz="0" w:space="0" w:color="auto"/>
        <w:right w:val="none" w:sz="0" w:space="0" w:color="auto"/>
      </w:divBdr>
      <w:divsChild>
        <w:div w:id="1323043415">
          <w:marLeft w:val="0"/>
          <w:marRight w:val="0"/>
          <w:marTop w:val="0"/>
          <w:marBottom w:val="0"/>
          <w:divBdr>
            <w:top w:val="none" w:sz="0" w:space="0" w:color="auto"/>
            <w:left w:val="none" w:sz="0" w:space="0" w:color="auto"/>
            <w:bottom w:val="none" w:sz="0" w:space="0" w:color="auto"/>
            <w:right w:val="none" w:sz="0" w:space="0" w:color="auto"/>
          </w:divBdr>
          <w:divsChild>
            <w:div w:id="1099135548">
              <w:marLeft w:val="0"/>
              <w:marRight w:val="0"/>
              <w:marTop w:val="0"/>
              <w:marBottom w:val="0"/>
              <w:divBdr>
                <w:top w:val="none" w:sz="0" w:space="0" w:color="auto"/>
                <w:left w:val="none" w:sz="0" w:space="0" w:color="auto"/>
                <w:bottom w:val="none" w:sz="0" w:space="0" w:color="auto"/>
                <w:right w:val="none" w:sz="0" w:space="0" w:color="auto"/>
              </w:divBdr>
            </w:div>
            <w:div w:id="1945379502">
              <w:marLeft w:val="0"/>
              <w:marRight w:val="0"/>
              <w:marTop w:val="0"/>
              <w:marBottom w:val="0"/>
              <w:divBdr>
                <w:top w:val="none" w:sz="0" w:space="0" w:color="auto"/>
                <w:left w:val="none" w:sz="0" w:space="0" w:color="auto"/>
                <w:bottom w:val="none" w:sz="0" w:space="0" w:color="auto"/>
                <w:right w:val="none" w:sz="0" w:space="0" w:color="auto"/>
              </w:divBdr>
              <w:divsChild>
                <w:div w:id="350030892">
                  <w:marLeft w:val="0"/>
                  <w:marRight w:val="0"/>
                  <w:marTop w:val="0"/>
                  <w:marBottom w:val="0"/>
                  <w:divBdr>
                    <w:top w:val="none" w:sz="0" w:space="0" w:color="auto"/>
                    <w:left w:val="none" w:sz="0" w:space="0" w:color="auto"/>
                    <w:bottom w:val="none" w:sz="0" w:space="0" w:color="auto"/>
                    <w:right w:val="none" w:sz="0" w:space="0" w:color="auto"/>
                  </w:divBdr>
                  <w:divsChild>
                    <w:div w:id="2536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9BBC-2338-4BC5-A55E-3A68A02E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Nenad Antonijević</cp:lastModifiedBy>
  <cp:revision>3</cp:revision>
  <dcterms:created xsi:type="dcterms:W3CDTF">2025-09-02T07:43:00Z</dcterms:created>
  <dcterms:modified xsi:type="dcterms:W3CDTF">2025-09-02T07:51:00Z</dcterms:modified>
</cp:coreProperties>
</file>